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16" w:type="dxa"/>
        <w:tblCellSpacing w:w="0" w:type="dxa"/>
        <w:tblInd w:w="-1426" w:type="dxa"/>
        <w:tblBorders>
          <w:top w:val="single" w:sz="6" w:space="0" w:color="C4C4C4"/>
          <w:left w:val="single" w:sz="6" w:space="0" w:color="C4C4C4"/>
          <w:bottom w:val="single" w:sz="6" w:space="0" w:color="C4C4C4"/>
          <w:right w:val="single" w:sz="6" w:space="0" w:color="C4C4C4"/>
        </w:tblBorders>
        <w:shd w:val="clear" w:color="auto" w:fill="FFFFFF"/>
        <w:tblCellMar>
          <w:left w:w="0" w:type="dxa"/>
          <w:right w:w="0" w:type="dxa"/>
        </w:tblCellMar>
        <w:tblLook w:val="04A0" w:firstRow="1" w:lastRow="0" w:firstColumn="1" w:lastColumn="0" w:noHBand="0" w:noVBand="1"/>
      </w:tblPr>
      <w:tblGrid>
        <w:gridCol w:w="13416"/>
      </w:tblGrid>
      <w:tr w:rsidR="009A3A51" w:rsidRPr="009A3A51" w14:paraId="6CC2C07D" w14:textId="77777777" w:rsidTr="000439EF">
        <w:trPr>
          <w:tblCellSpacing w:w="0" w:type="dxa"/>
        </w:trPr>
        <w:tc>
          <w:tcPr>
            <w:tcW w:w="13416" w:type="dxa"/>
            <w:shd w:val="clear" w:color="auto" w:fill="FFFFFF"/>
            <w:hideMark/>
          </w:tcPr>
          <w:p w14:paraId="2E13F329" w14:textId="101DFA25" w:rsidR="000439EF" w:rsidRDefault="000439EF" w:rsidP="000439EF">
            <w:r>
              <w:rPr>
                <w:noProof/>
                <w:sz w:val="28"/>
                <w:szCs w:val="28"/>
              </w:rPr>
              <w:drawing>
                <wp:anchor distT="0" distB="0" distL="114300" distR="114300" simplePos="0" relativeHeight="251659264" behindDoc="0" locked="0" layoutInCell="1" allowOverlap="1" wp14:anchorId="4E642DFB" wp14:editId="5D771B46">
                  <wp:simplePos x="0" y="0"/>
                  <wp:positionH relativeFrom="column">
                    <wp:posOffset>597535</wp:posOffset>
                  </wp:positionH>
                  <wp:positionV relativeFrom="paragraph">
                    <wp:posOffset>0</wp:posOffset>
                  </wp:positionV>
                  <wp:extent cx="2337435" cy="1256665"/>
                  <wp:effectExtent l="0" t="0" r="5715" b="635"/>
                  <wp:wrapSquare wrapText="bothSides"/>
                  <wp:docPr id="1" name="Picture 1" descr="/Users/kerryohagan/Downloads/FINAL DAV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erryohagan/Downloads/FINAL DAV logo 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7435" cy="1256665"/>
                          </a:xfrm>
                          <a:prstGeom prst="rect">
                            <a:avLst/>
                          </a:prstGeom>
                          <a:noFill/>
                          <a:ln>
                            <a:noFill/>
                          </a:ln>
                        </pic:spPr>
                      </pic:pic>
                    </a:graphicData>
                  </a:graphic>
                </wp:anchor>
              </w:drawing>
            </w:r>
          </w:p>
          <w:p w14:paraId="0318D01C" w14:textId="77777777" w:rsidR="009A3A51" w:rsidRDefault="009A3A51" w:rsidP="009A3A51"/>
          <w:tbl>
            <w:tblPr>
              <w:tblW w:w="5000" w:type="pct"/>
              <w:jc w:val="center"/>
              <w:tblCellMar>
                <w:left w:w="0" w:type="dxa"/>
                <w:right w:w="0" w:type="dxa"/>
              </w:tblCellMar>
              <w:tblLook w:val="04A0" w:firstRow="1" w:lastRow="0" w:firstColumn="1" w:lastColumn="0" w:noHBand="0" w:noVBand="1"/>
            </w:tblPr>
            <w:tblGrid>
              <w:gridCol w:w="13386"/>
            </w:tblGrid>
            <w:tr w:rsidR="009A3A51" w:rsidRPr="009A3A51" w14:paraId="3338BF9B" w14:textId="77777777">
              <w:trPr>
                <w:jc w:val="center"/>
              </w:trPr>
              <w:tc>
                <w:tcPr>
                  <w:tcW w:w="0" w:type="auto"/>
                  <w:shd w:val="clear" w:color="auto" w:fill="auto"/>
                  <w:hideMark/>
                </w:tcPr>
                <w:p w14:paraId="69F461DD" w14:textId="77777777" w:rsidR="009A3A51" w:rsidRDefault="009A3A51" w:rsidP="000439EF"/>
                <w:tbl>
                  <w:tblPr>
                    <w:tblW w:w="11960" w:type="dxa"/>
                    <w:jc w:val="center"/>
                    <w:tblCellMar>
                      <w:left w:w="0" w:type="dxa"/>
                      <w:right w:w="0" w:type="dxa"/>
                    </w:tblCellMar>
                    <w:tblLook w:val="04A0" w:firstRow="1" w:lastRow="0" w:firstColumn="1" w:lastColumn="0" w:noHBand="0" w:noVBand="1"/>
                  </w:tblPr>
                  <w:tblGrid>
                    <w:gridCol w:w="11960"/>
                  </w:tblGrid>
                  <w:tr w:rsidR="009A3A51" w:rsidRPr="009A3A51" w14:paraId="3D1EB081" w14:textId="77777777">
                    <w:trPr>
                      <w:jc w:val="center"/>
                    </w:trPr>
                    <w:tc>
                      <w:tcPr>
                        <w:tcW w:w="0" w:type="auto"/>
                        <w:shd w:val="clear" w:color="auto" w:fill="auto"/>
                        <w:tcMar>
                          <w:top w:w="300" w:type="dxa"/>
                          <w:left w:w="300" w:type="dxa"/>
                          <w:bottom w:w="0" w:type="dxa"/>
                          <w:right w:w="300" w:type="dxa"/>
                        </w:tcMar>
                        <w:hideMark/>
                      </w:tcPr>
                      <w:p w14:paraId="5F5B551F" w14:textId="77777777" w:rsidR="009A3A51" w:rsidRDefault="009A3A51">
                        <w:pPr>
                          <w:jc w:val="center"/>
                        </w:pPr>
                        <w:bookmarkStart w:id="0" w:name="_GoBack"/>
                        <w:bookmarkEnd w:id="0"/>
                      </w:p>
                      <w:tbl>
                        <w:tblPr>
                          <w:tblW w:w="11160" w:type="dxa"/>
                          <w:jc w:val="center"/>
                          <w:tblCellMar>
                            <w:left w:w="0" w:type="dxa"/>
                            <w:right w:w="0" w:type="dxa"/>
                          </w:tblCellMar>
                          <w:tblLook w:val="04A0" w:firstRow="1" w:lastRow="0" w:firstColumn="1" w:lastColumn="0" w:noHBand="0" w:noVBand="1"/>
                        </w:tblPr>
                        <w:tblGrid>
                          <w:gridCol w:w="11160"/>
                        </w:tblGrid>
                        <w:tr w:rsidR="009A3A51" w:rsidRPr="009A3A51" w14:paraId="1103830A" w14:textId="77777777">
                          <w:trPr>
                            <w:jc w:val="center"/>
                          </w:trPr>
                          <w:tc>
                            <w:tcPr>
                              <w:tcW w:w="0" w:type="auto"/>
                              <w:shd w:val="clear" w:color="auto" w:fill="auto"/>
                              <w:hideMark/>
                            </w:tcPr>
                            <w:p w14:paraId="4DDD5E14" w14:textId="77777777" w:rsidR="009A3A51" w:rsidRDefault="009A3A51"/>
                            <w:tbl>
                              <w:tblPr>
                                <w:tblW w:w="5000" w:type="pct"/>
                                <w:tblCellMar>
                                  <w:left w:w="0" w:type="dxa"/>
                                  <w:right w:w="0" w:type="dxa"/>
                                </w:tblCellMar>
                                <w:tblLook w:val="04A0" w:firstRow="1" w:lastRow="0" w:firstColumn="1" w:lastColumn="0" w:noHBand="0" w:noVBand="1"/>
                              </w:tblPr>
                              <w:tblGrid>
                                <w:gridCol w:w="11160"/>
                              </w:tblGrid>
                              <w:tr w:rsidR="009A3A51" w:rsidRPr="009A3A51" w14:paraId="7C91083D" w14:textId="77777777">
                                <w:tc>
                                  <w:tcPr>
                                    <w:tcW w:w="0" w:type="auto"/>
                                    <w:shd w:val="clear" w:color="auto" w:fill="auto"/>
                                    <w:tcMar>
                                      <w:top w:w="0" w:type="dxa"/>
                                      <w:left w:w="0" w:type="dxa"/>
                                      <w:bottom w:w="300" w:type="dxa"/>
                                      <w:right w:w="0" w:type="dxa"/>
                                    </w:tcMar>
                                    <w:vAlign w:val="center"/>
                                    <w:hideMark/>
                                  </w:tcPr>
                                  <w:p w14:paraId="406EFA9C" w14:textId="77777777" w:rsidR="009A3A51" w:rsidRPr="009A3A51" w:rsidRDefault="009A3A51" w:rsidP="009A3A51">
                                    <w:pPr>
                                      <w:spacing w:line="338" w:lineRule="atLeast"/>
                                      <w:ind w:right="1134"/>
                                      <w:rPr>
                                        <w:rFonts w:ascii="Helvetica Neue" w:hAnsi="Helvetica Neue" w:cs="Times New Roman"/>
                                        <w:color w:val="000000"/>
                                        <w:sz w:val="23"/>
                                        <w:szCs w:val="23"/>
                                      </w:rPr>
                                    </w:pPr>
                                    <w:r w:rsidRPr="009A3A51">
                                      <w:rPr>
                                        <w:rFonts w:ascii="Helvetica Neue" w:hAnsi="Helvetica Neue" w:cs="Times New Roman"/>
                                        <w:color w:val="000000"/>
                                        <w:sz w:val="23"/>
                                        <w:szCs w:val="23"/>
                                      </w:rPr>
                                      <w:t>Dear Members,</w:t>
                                    </w:r>
                                    <w:r w:rsidRPr="009A3A51">
                                      <w:rPr>
                                        <w:rFonts w:ascii="Helvetica Neue" w:hAnsi="Helvetica Neue" w:cs="Times New Roman"/>
                                        <w:color w:val="000000"/>
                                        <w:sz w:val="23"/>
                                        <w:szCs w:val="23"/>
                                      </w:rPr>
                                      <w:br/>
                                      <w:t> </w:t>
                                    </w:r>
                                    <w:r w:rsidRPr="009A3A51">
                                      <w:rPr>
                                        <w:rFonts w:ascii="Helvetica Neue" w:hAnsi="Helvetica Neue" w:cs="Times New Roman"/>
                                        <w:color w:val="000000"/>
                                        <w:sz w:val="23"/>
                                        <w:szCs w:val="23"/>
                                      </w:rPr>
                                      <w:br/>
                                      <w:t>Disability Advocacy Victoria would like to notify you of the following Victoria Legal Aid and Department of Social Services review consultations:</w:t>
                                    </w:r>
                                    <w:r w:rsidRPr="009A3A51">
                                      <w:rPr>
                                        <w:rFonts w:ascii="Helvetica Neue" w:hAnsi="Helvetica Neue" w:cs="Times New Roman"/>
                                        <w:color w:val="000000"/>
                                        <w:sz w:val="23"/>
                                        <w:szCs w:val="23"/>
                                      </w:rPr>
                                      <w:br/>
                                      <w:t> </w:t>
                                    </w:r>
                                    <w:r w:rsidRPr="009A3A51">
                                      <w:rPr>
                                        <w:rFonts w:ascii="Helvetica Neue" w:hAnsi="Helvetica Neue" w:cs="Times New Roman"/>
                                        <w:color w:val="000000"/>
                                        <w:sz w:val="23"/>
                                        <w:szCs w:val="23"/>
                                      </w:rPr>
                                      <w:br/>
                                    </w:r>
                                    <w:r w:rsidRPr="009A3A51">
                                      <w:rPr>
                                        <w:rFonts w:ascii="Helvetica Neue" w:hAnsi="Helvetica Neue" w:cs="Times New Roman"/>
                                        <w:b/>
                                        <w:bCs/>
                                        <w:color w:val="000000"/>
                                        <w:sz w:val="23"/>
                                        <w:szCs w:val="23"/>
                                      </w:rPr>
                                      <w:t>Victoria Legal Aid Means Test Review</w:t>
                                    </w:r>
                                    <w:r w:rsidRPr="009A3A51">
                                      <w:rPr>
                                        <w:rFonts w:ascii="Helvetica Neue" w:hAnsi="Helvetica Neue" w:cs="Times New Roman"/>
                                        <w:color w:val="000000"/>
                                        <w:sz w:val="23"/>
                                        <w:szCs w:val="23"/>
                                      </w:rPr>
                                      <w:br/>
                                      <w:t> </w:t>
                                    </w:r>
                                    <w:r w:rsidRPr="009A3A51">
                                      <w:rPr>
                                        <w:rFonts w:ascii="Helvetica Neue" w:hAnsi="Helvetica Neue" w:cs="Times New Roman"/>
                                        <w:color w:val="000000"/>
                                        <w:sz w:val="23"/>
                                        <w:szCs w:val="23"/>
                                      </w:rPr>
                                      <w:br/>
                                      <w:t>Victoria Legal Aid is currently reviewing the means test and contributions policy in relation to accessing publicly funded legal assistance.  An Options Paper has been released detailing possible changes to the means test and contributions policy.  Submissions close on 11th June 2017.  To make a submission go to</w:t>
                                    </w:r>
                                    <w:hyperlink r:id="rId5" w:tgtFrame="_blank" w:history="1">
                                      <w:r w:rsidRPr="009A3A51">
                                        <w:rPr>
                                          <w:rFonts w:ascii="Helvetica Neue" w:hAnsi="Helvetica Neue" w:cs="Times New Roman"/>
                                          <w:color w:val="38B8F4"/>
                                          <w:sz w:val="23"/>
                                          <w:szCs w:val="23"/>
                                        </w:rPr>
                                        <w:t>https://yoursay.vla.vic.gov.au/options-paper</w:t>
                                      </w:r>
                                    </w:hyperlink>
                                    <w:r w:rsidRPr="009A3A51">
                                      <w:rPr>
                                        <w:rFonts w:ascii="Helvetica Neue" w:hAnsi="Helvetica Neue" w:cs="Times New Roman"/>
                                        <w:color w:val="000000"/>
                                        <w:sz w:val="23"/>
                                        <w:szCs w:val="23"/>
                                      </w:rPr>
                                      <w:t>.</w:t>
                                    </w:r>
                                    <w:r w:rsidRPr="009A3A51">
                                      <w:rPr>
                                        <w:rFonts w:ascii="Helvetica Neue" w:hAnsi="Helvetica Neue" w:cs="Times New Roman"/>
                                        <w:color w:val="000000"/>
                                        <w:sz w:val="23"/>
                                        <w:szCs w:val="23"/>
                                      </w:rPr>
                                      <w:br/>
                                      <w:t> </w:t>
                                    </w:r>
                                    <w:r w:rsidRPr="009A3A51">
                                      <w:rPr>
                                        <w:rFonts w:ascii="Helvetica Neue" w:hAnsi="Helvetica Neue" w:cs="Times New Roman"/>
                                        <w:color w:val="000000"/>
                                        <w:sz w:val="23"/>
                                        <w:szCs w:val="23"/>
                                      </w:rPr>
                                      <w:br/>
                                    </w:r>
                                    <w:r w:rsidRPr="009A3A51">
                                      <w:rPr>
                                        <w:rFonts w:ascii="Helvetica Neue" w:hAnsi="Helvetica Neue" w:cs="Times New Roman"/>
                                        <w:b/>
                                        <w:bCs/>
                                        <w:color w:val="000000"/>
                                        <w:sz w:val="23"/>
                                        <w:szCs w:val="23"/>
                                      </w:rPr>
                                      <w:t>NDIS Code of Conduct</w:t>
                                    </w:r>
                                    <w:r w:rsidRPr="009A3A51">
                                      <w:rPr>
                                        <w:rFonts w:ascii="Helvetica Neue" w:hAnsi="Helvetica Neue" w:cs="Times New Roman"/>
                                        <w:color w:val="000000"/>
                                        <w:sz w:val="23"/>
                                        <w:szCs w:val="23"/>
                                      </w:rPr>
                                      <w:br/>
                                      <w:t> </w:t>
                                    </w:r>
                                    <w:r w:rsidRPr="009A3A51">
                                      <w:rPr>
                                        <w:rFonts w:ascii="Helvetica Neue" w:hAnsi="Helvetica Neue" w:cs="Times New Roman"/>
                                        <w:color w:val="000000"/>
                                        <w:sz w:val="23"/>
                                        <w:szCs w:val="23"/>
                                      </w:rPr>
                                      <w:br/>
                                      <w:t>DSS is developing a national Code of Conduct to govern service delivery for the National Disability Insurance Scheme.  The aim of the code is to set out expectations for providers and workers delivering supports and services, and enable action against providers and workers where a breach of the code occurs.</w:t>
                                    </w:r>
                                    <w:r w:rsidRPr="009A3A51">
                                      <w:rPr>
                                        <w:rFonts w:ascii="Helvetica Neue" w:hAnsi="Helvetica Neue" w:cs="Times New Roman"/>
                                        <w:color w:val="000000"/>
                                        <w:sz w:val="23"/>
                                        <w:szCs w:val="23"/>
                                      </w:rPr>
                                      <w:br/>
                                      <w:t> </w:t>
                                    </w:r>
                                    <w:r w:rsidRPr="009A3A51">
                                      <w:rPr>
                                        <w:rFonts w:ascii="Helvetica Neue" w:hAnsi="Helvetica Neue" w:cs="Times New Roman"/>
                                        <w:color w:val="000000"/>
                                        <w:sz w:val="23"/>
                                        <w:szCs w:val="23"/>
                                      </w:rPr>
                                      <w:br/>
                                      <w:t>Consultation on the draft Code of Conduct is now open.  You can visit</w:t>
                                    </w:r>
                                    <w:hyperlink r:id="rId6" w:tgtFrame="_blank" w:history="1">
                                      <w:r w:rsidRPr="009A3A51">
                                        <w:rPr>
                                          <w:rFonts w:ascii="Helvetica Neue" w:hAnsi="Helvetica Neue" w:cs="Times New Roman"/>
                                          <w:color w:val="38B8F4"/>
                                          <w:sz w:val="23"/>
                                          <w:szCs w:val="23"/>
                                        </w:rPr>
                                        <w:t>www.engage.dss.gov.au</w:t>
                                      </w:r>
                                    </w:hyperlink>
                                    <w:r w:rsidRPr="009A3A51">
                                      <w:rPr>
                                        <w:rFonts w:ascii="Helvetica Neue" w:hAnsi="Helvetica Neue" w:cs="Times New Roman"/>
                                        <w:color w:val="000000"/>
                                        <w:sz w:val="23"/>
                                        <w:szCs w:val="23"/>
                                      </w:rPr>
                                      <w:t>  to read the Discussion Paper, complete a survey or upload a submission.  Submissions are due by 5pm, 21st June 2017.</w:t>
                                    </w:r>
                                    <w:r w:rsidRPr="009A3A51">
                                      <w:rPr>
                                        <w:rFonts w:ascii="Helvetica Neue" w:hAnsi="Helvetica Neue" w:cs="Times New Roman"/>
                                        <w:color w:val="000000"/>
                                        <w:sz w:val="23"/>
                                        <w:szCs w:val="23"/>
                                      </w:rPr>
                                      <w:br/>
                                      <w:t> </w:t>
                                    </w:r>
                                    <w:r w:rsidRPr="009A3A51">
                                      <w:rPr>
                                        <w:rFonts w:ascii="Helvetica Neue" w:hAnsi="Helvetica Neue" w:cs="Times New Roman"/>
                                        <w:color w:val="000000"/>
                                        <w:sz w:val="23"/>
                                        <w:szCs w:val="23"/>
                                      </w:rPr>
                                      <w:br/>
                                      <w:t>The draft Code of Conduct is a part of the NDIS Quality and Safeguarding Framework which was released in February 2017.  Disability Advocacy Victoria, on behalf of its members, participated in the consultation process leading up to the release of the Framework by making a submission to the proposal for a NDIS Quality and Safeguard Framework in April 2015.  You may view a copy of the Framework at </w:t>
                                    </w:r>
                                    <w:hyperlink r:id="rId7" w:tgtFrame="_blank" w:history="1">
                                      <w:r w:rsidRPr="009A3A51">
                                        <w:rPr>
                                          <w:rFonts w:ascii="Helvetica Neue" w:hAnsi="Helvetica Neue" w:cs="Times New Roman"/>
                                          <w:color w:val="38B8F4"/>
                                          <w:sz w:val="23"/>
                                          <w:szCs w:val="23"/>
                                        </w:rPr>
                                        <w:t>https://yoursay.vla.vic.gov.au/options-paper</w:t>
                                      </w:r>
                                    </w:hyperlink>
                                    <w:r w:rsidRPr="009A3A51">
                                      <w:rPr>
                                        <w:rFonts w:ascii="Helvetica Neue" w:hAnsi="Helvetica Neue" w:cs="Times New Roman"/>
                                        <w:color w:val="000000"/>
                                        <w:sz w:val="23"/>
                                        <w:szCs w:val="23"/>
                                      </w:rPr>
                                      <w:t>.</w:t>
                                    </w:r>
                                    <w:r w:rsidRPr="009A3A51">
                                      <w:rPr>
                                        <w:rFonts w:ascii="Helvetica Neue" w:hAnsi="Helvetica Neue" w:cs="Times New Roman"/>
                                        <w:color w:val="000000"/>
                                        <w:sz w:val="23"/>
                                        <w:szCs w:val="23"/>
                                      </w:rPr>
                                      <w:br/>
                                      <w:t> </w:t>
                                    </w:r>
                                  </w:p>
                                </w:tc>
                              </w:tr>
                            </w:tbl>
                            <w:p w14:paraId="62F5F6A2" w14:textId="77777777" w:rsidR="009A3A51" w:rsidRPr="009A3A51" w:rsidRDefault="009A3A51" w:rsidP="009A3A51">
                              <w:pPr>
                                <w:ind w:right="1134"/>
                                <w:rPr>
                                  <w:rFonts w:ascii="Times New Roman" w:eastAsia="Times New Roman" w:hAnsi="Times New Roman" w:cs="Times New Roman"/>
                                </w:rPr>
                              </w:pPr>
                            </w:p>
                          </w:tc>
                        </w:tr>
                      </w:tbl>
                      <w:p w14:paraId="4EC6D679" w14:textId="77777777" w:rsidR="009A3A51" w:rsidRPr="009A3A51" w:rsidRDefault="009A3A51" w:rsidP="009A3A51">
                        <w:pPr>
                          <w:ind w:right="1134"/>
                          <w:rPr>
                            <w:rFonts w:ascii="Times New Roman" w:eastAsia="Times New Roman" w:hAnsi="Times New Roman" w:cs="Times New Roman"/>
                          </w:rPr>
                        </w:pPr>
                      </w:p>
                    </w:tc>
                  </w:tr>
                </w:tbl>
                <w:p w14:paraId="5D6628D1" w14:textId="77777777" w:rsidR="009A3A51" w:rsidRPr="009A3A51" w:rsidRDefault="009A3A51" w:rsidP="009A3A51">
                  <w:pPr>
                    <w:jc w:val="center"/>
                    <w:rPr>
                      <w:rFonts w:ascii="Times New Roman" w:eastAsia="Times New Roman" w:hAnsi="Times New Roman" w:cs="Times New Roman"/>
                    </w:rPr>
                  </w:pPr>
                </w:p>
              </w:tc>
            </w:tr>
          </w:tbl>
          <w:p w14:paraId="231B6372" w14:textId="77777777" w:rsidR="009A3A51" w:rsidRPr="009A3A51" w:rsidRDefault="009A3A51" w:rsidP="009A3A51">
            <w:pPr>
              <w:spacing w:line="279" w:lineRule="atLeast"/>
              <w:jc w:val="center"/>
              <w:rPr>
                <w:rFonts w:ascii="Arial" w:eastAsia="Times New Roman" w:hAnsi="Arial" w:cs="Arial"/>
                <w:color w:val="4D4D4D"/>
                <w:sz w:val="20"/>
                <w:szCs w:val="20"/>
              </w:rPr>
            </w:pPr>
          </w:p>
        </w:tc>
      </w:tr>
    </w:tbl>
    <w:p w14:paraId="065F5E78" w14:textId="77777777" w:rsidR="009A3A51" w:rsidRPr="009A3A51" w:rsidRDefault="009A3A51" w:rsidP="009A3A51">
      <w:pPr>
        <w:rPr>
          <w:rFonts w:ascii="Times New Roman" w:eastAsia="Times New Roman" w:hAnsi="Times New Roman" w:cs="Times New Roman"/>
          <w:vanish/>
        </w:rPr>
      </w:pPr>
    </w:p>
    <w:tbl>
      <w:tblPr>
        <w:tblW w:w="11960" w:type="dxa"/>
        <w:tblCellMar>
          <w:left w:w="0" w:type="dxa"/>
          <w:right w:w="0" w:type="dxa"/>
        </w:tblCellMar>
        <w:tblLook w:val="04A0" w:firstRow="1" w:lastRow="0" w:firstColumn="1" w:lastColumn="0" w:noHBand="0" w:noVBand="1"/>
      </w:tblPr>
      <w:tblGrid>
        <w:gridCol w:w="11960"/>
      </w:tblGrid>
      <w:tr w:rsidR="009A3A51" w:rsidRPr="009A3A51" w14:paraId="730C5ECA" w14:textId="77777777" w:rsidTr="009A3A51">
        <w:tc>
          <w:tcPr>
            <w:tcW w:w="0" w:type="auto"/>
            <w:shd w:val="clear" w:color="auto" w:fill="auto"/>
            <w:hideMark/>
          </w:tcPr>
          <w:tbl>
            <w:tblPr>
              <w:tblW w:w="5000" w:type="pct"/>
              <w:jc w:val="center"/>
              <w:tblCellMar>
                <w:left w:w="0" w:type="dxa"/>
                <w:right w:w="0" w:type="dxa"/>
              </w:tblCellMar>
              <w:tblLook w:val="04A0" w:firstRow="1" w:lastRow="0" w:firstColumn="1" w:lastColumn="0" w:noHBand="0" w:noVBand="1"/>
            </w:tblPr>
            <w:tblGrid>
              <w:gridCol w:w="11960"/>
            </w:tblGrid>
            <w:tr w:rsidR="009A3A51" w:rsidRPr="009A3A51" w14:paraId="0DEF24A8" w14:textId="77777777">
              <w:trPr>
                <w:jc w:val="center"/>
              </w:trPr>
              <w:tc>
                <w:tcPr>
                  <w:tcW w:w="0" w:type="auto"/>
                  <w:shd w:val="clear" w:color="auto" w:fill="auto"/>
                  <w:hideMark/>
                </w:tcPr>
                <w:tbl>
                  <w:tblPr>
                    <w:tblW w:w="11960" w:type="dxa"/>
                    <w:jc w:val="center"/>
                    <w:tblCellMar>
                      <w:left w:w="0" w:type="dxa"/>
                      <w:right w:w="0" w:type="dxa"/>
                    </w:tblCellMar>
                    <w:tblLook w:val="04A0" w:firstRow="1" w:lastRow="0" w:firstColumn="1" w:lastColumn="0" w:noHBand="0" w:noVBand="1"/>
                  </w:tblPr>
                  <w:tblGrid>
                    <w:gridCol w:w="11960"/>
                  </w:tblGrid>
                  <w:tr w:rsidR="009A3A51" w:rsidRPr="009A3A51" w14:paraId="3E6B344F" w14:textId="77777777">
                    <w:trPr>
                      <w:jc w:val="center"/>
                    </w:trPr>
                    <w:tc>
                      <w:tcPr>
                        <w:tcW w:w="0" w:type="auto"/>
                        <w:shd w:val="clear" w:color="auto" w:fill="auto"/>
                        <w:tcMar>
                          <w:top w:w="300" w:type="dxa"/>
                          <w:left w:w="300" w:type="dxa"/>
                          <w:bottom w:w="0" w:type="dxa"/>
                          <w:right w:w="300" w:type="dxa"/>
                        </w:tcMar>
                        <w:hideMark/>
                      </w:tcPr>
                      <w:tbl>
                        <w:tblPr>
                          <w:tblW w:w="11200" w:type="dxa"/>
                          <w:jc w:val="center"/>
                          <w:tblCellMar>
                            <w:left w:w="0" w:type="dxa"/>
                            <w:right w:w="0" w:type="dxa"/>
                          </w:tblCellMar>
                          <w:tblLook w:val="04A0" w:firstRow="1" w:lastRow="0" w:firstColumn="1" w:lastColumn="0" w:noHBand="0" w:noVBand="1"/>
                        </w:tblPr>
                        <w:tblGrid>
                          <w:gridCol w:w="11200"/>
                        </w:tblGrid>
                        <w:tr w:rsidR="009A3A51" w:rsidRPr="009A3A51" w14:paraId="2D55C2BE" w14:textId="77777777">
                          <w:trPr>
                            <w:jc w:val="center"/>
                          </w:trPr>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00"/>
                              </w:tblGrid>
                              <w:tr w:rsidR="009A3A51" w:rsidRPr="009A3A51" w14:paraId="0F395C6C" w14:textId="77777777" w:rsidTr="009A3A51">
                                <w:trPr>
                                  <w:trHeight w:val="433"/>
                                </w:trPr>
                                <w:tc>
                                  <w:tcPr>
                                    <w:tcW w:w="0" w:type="auto"/>
                                    <w:shd w:val="clear" w:color="auto" w:fill="auto"/>
                                    <w:tcMar>
                                      <w:top w:w="0" w:type="dxa"/>
                                      <w:left w:w="0" w:type="dxa"/>
                                      <w:bottom w:w="300" w:type="dxa"/>
                                      <w:right w:w="0" w:type="dxa"/>
                                    </w:tcMar>
                                    <w:vAlign w:val="center"/>
                                    <w:hideMark/>
                                  </w:tcPr>
                                  <w:p w14:paraId="13B7DA2B" w14:textId="77777777" w:rsidR="009A3A51" w:rsidRPr="009A3A51" w:rsidRDefault="009A3A51" w:rsidP="009A3A51">
                                    <w:pPr>
                                      <w:spacing w:line="270" w:lineRule="atLeast"/>
                                      <w:ind w:right="1134"/>
                                      <w:jc w:val="center"/>
                                      <w:rPr>
                                        <w:rFonts w:ascii="Helvetica Neue" w:hAnsi="Helvetica Neue" w:cs="Times New Roman"/>
                                        <w:color w:val="5E5E5E"/>
                                        <w:sz w:val="18"/>
                                        <w:szCs w:val="18"/>
                                      </w:rPr>
                                    </w:pPr>
                                    <w:r w:rsidRPr="009A3A51">
                                      <w:rPr>
                                        <w:rFonts w:ascii="Helvetica Neue" w:hAnsi="Helvetica Neue" w:cs="Times New Roman"/>
                                        <w:color w:val="5E5E5E"/>
                                        <w:sz w:val="18"/>
                                        <w:szCs w:val="18"/>
                                      </w:rPr>
                                      <w:lastRenderedPageBreak/>
                                      <w:t>Disability Advocacy Victoria</w:t>
                                    </w:r>
                                  </w:p>
                                </w:tc>
                              </w:tr>
                            </w:tbl>
                            <w:p w14:paraId="269B4293" w14:textId="77777777" w:rsidR="009A3A51" w:rsidRPr="009A3A51" w:rsidRDefault="009A3A51" w:rsidP="009A3A51">
                              <w:pPr>
                                <w:rPr>
                                  <w:rFonts w:ascii="Times New Roman" w:eastAsia="Times New Roman" w:hAnsi="Times New Roman" w:cs="Times New Roman"/>
                                </w:rPr>
                              </w:pPr>
                            </w:p>
                          </w:tc>
                        </w:tr>
                      </w:tbl>
                      <w:p w14:paraId="4E1CB57C" w14:textId="77777777" w:rsidR="009A3A51" w:rsidRPr="009A3A51" w:rsidRDefault="009A3A51" w:rsidP="009A3A51">
                        <w:pPr>
                          <w:rPr>
                            <w:rFonts w:ascii="Times New Roman" w:eastAsia="Times New Roman" w:hAnsi="Times New Roman" w:cs="Times New Roman"/>
                          </w:rPr>
                        </w:pPr>
                      </w:p>
                    </w:tc>
                  </w:tr>
                </w:tbl>
                <w:p w14:paraId="31C28182" w14:textId="77777777" w:rsidR="009A3A51" w:rsidRPr="009A3A51" w:rsidRDefault="009A3A51" w:rsidP="009A3A51">
                  <w:pPr>
                    <w:jc w:val="center"/>
                    <w:rPr>
                      <w:rFonts w:ascii="Times New Roman" w:eastAsia="Times New Roman" w:hAnsi="Times New Roman" w:cs="Times New Roman"/>
                    </w:rPr>
                  </w:pPr>
                </w:p>
              </w:tc>
            </w:tr>
          </w:tbl>
          <w:p w14:paraId="2A5DFF00" w14:textId="77777777" w:rsidR="009A3A51" w:rsidRPr="009A3A51" w:rsidRDefault="009A3A51" w:rsidP="009A3A51">
            <w:pPr>
              <w:jc w:val="center"/>
              <w:rPr>
                <w:rFonts w:ascii="Arial" w:eastAsia="Times New Roman" w:hAnsi="Arial" w:cs="Arial"/>
                <w:color w:val="5E5E5E"/>
                <w:sz w:val="18"/>
                <w:szCs w:val="18"/>
              </w:rPr>
            </w:pPr>
          </w:p>
        </w:tc>
      </w:tr>
    </w:tbl>
    <w:p w14:paraId="3C9D69A3" w14:textId="77777777" w:rsidR="00BD649F" w:rsidRDefault="000439EF"/>
    <w:sectPr w:rsidR="00BD649F" w:rsidSect="008C45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51"/>
    <w:rsid w:val="000439EF"/>
    <w:rsid w:val="00157EE5"/>
    <w:rsid w:val="008C458A"/>
    <w:rsid w:val="009A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7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A5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A3A51"/>
    <w:rPr>
      <w:b/>
      <w:bCs/>
    </w:rPr>
  </w:style>
  <w:style w:type="character" w:styleId="Hyperlink">
    <w:name w:val="Hyperlink"/>
    <w:basedOn w:val="DefaultParagraphFont"/>
    <w:uiPriority w:val="99"/>
    <w:semiHidden/>
    <w:unhideWhenUsed/>
    <w:rsid w:val="009A3A51"/>
    <w:rPr>
      <w:color w:val="0000FF"/>
      <w:u w:val="single"/>
    </w:rPr>
  </w:style>
  <w:style w:type="character" w:customStyle="1" w:styleId="apple-converted-space">
    <w:name w:val="apple-converted-space"/>
    <w:basedOn w:val="DefaultParagraphFont"/>
    <w:rsid w:val="009A3A51"/>
  </w:style>
  <w:style w:type="paragraph" w:customStyle="1" w:styleId="text-center">
    <w:name w:val="text-center"/>
    <w:basedOn w:val="Normal"/>
    <w:rsid w:val="009A3A5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2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yoursay.vla.vic.gov.au/options-paper" TargetMode="External"/><Relationship Id="rId6" Type="http://schemas.openxmlformats.org/officeDocument/2006/relationships/hyperlink" Target="http://www.engage.dss.gov.au/" TargetMode="External"/><Relationship Id="rId7" Type="http://schemas.openxmlformats.org/officeDocument/2006/relationships/hyperlink" Target="https://yoursay.vla.vic.gov.au/options-pap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1547</Characters>
  <Application>Microsoft Macintosh Word</Application>
  <DocSecurity>0</DocSecurity>
  <Lines>12</Lines>
  <Paragraphs>3</Paragraphs>
  <ScaleCrop>false</ScaleCrop>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O'Hagan</dc:creator>
  <cp:keywords/>
  <dc:description/>
  <cp:lastModifiedBy>kerry O'Hagan</cp:lastModifiedBy>
  <cp:revision>2</cp:revision>
  <dcterms:created xsi:type="dcterms:W3CDTF">2017-06-13T10:32:00Z</dcterms:created>
  <dcterms:modified xsi:type="dcterms:W3CDTF">2017-06-13T10:38:00Z</dcterms:modified>
</cp:coreProperties>
</file>