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87C" w:rsidRDefault="0073187C" w:rsidP="0073187C">
      <w:pPr>
        <w:rPr>
          <w:rFonts w:asciiTheme="minorHAnsi" w:hAnsiTheme="minorHAnsi" w:cs="Arial"/>
          <w:b/>
          <w:color w:val="1F497D" w:themeColor="text2"/>
          <w:sz w:val="32"/>
          <w:szCs w:val="32"/>
        </w:rPr>
      </w:pPr>
    </w:p>
    <w:p w:rsidR="0073187C" w:rsidRPr="0073187C" w:rsidRDefault="0073187C" w:rsidP="0073187C">
      <w:pPr>
        <w:rPr>
          <w:rFonts w:asciiTheme="minorHAnsi" w:hAnsiTheme="minorHAnsi" w:cs="Arial"/>
          <w:b/>
        </w:rPr>
      </w:pPr>
      <w:r>
        <w:rPr>
          <w:rFonts w:asciiTheme="minorHAnsi" w:hAnsiTheme="minorHAnsi" w:cs="Arial"/>
          <w:b/>
          <w:color w:val="1F497D" w:themeColor="text2"/>
          <w:sz w:val="32"/>
          <w:szCs w:val="32"/>
        </w:rPr>
        <w:tab/>
      </w:r>
      <w:r>
        <w:rPr>
          <w:rFonts w:asciiTheme="minorHAnsi" w:hAnsiTheme="minorHAnsi" w:cs="Arial"/>
          <w:b/>
          <w:color w:val="1F497D" w:themeColor="text2"/>
          <w:sz w:val="32"/>
          <w:szCs w:val="32"/>
        </w:rPr>
        <w:tab/>
      </w:r>
      <w:r>
        <w:rPr>
          <w:rFonts w:asciiTheme="minorHAnsi" w:hAnsiTheme="minorHAnsi" w:cs="Arial"/>
          <w:b/>
          <w:color w:val="1F497D" w:themeColor="text2"/>
          <w:sz w:val="32"/>
          <w:szCs w:val="32"/>
        </w:rPr>
        <w:tab/>
      </w:r>
      <w:r>
        <w:rPr>
          <w:rFonts w:asciiTheme="minorHAnsi" w:hAnsiTheme="minorHAnsi" w:cs="Arial"/>
          <w:b/>
          <w:color w:val="1F497D" w:themeColor="text2"/>
          <w:sz w:val="32"/>
          <w:szCs w:val="32"/>
        </w:rPr>
        <w:tab/>
      </w:r>
      <w:r>
        <w:rPr>
          <w:rFonts w:asciiTheme="minorHAnsi" w:hAnsiTheme="minorHAnsi" w:cs="Arial"/>
          <w:b/>
          <w:color w:val="1F497D" w:themeColor="text2"/>
          <w:sz w:val="32"/>
          <w:szCs w:val="32"/>
        </w:rPr>
        <w:tab/>
      </w:r>
      <w:r>
        <w:rPr>
          <w:rFonts w:asciiTheme="minorHAnsi" w:hAnsiTheme="minorHAnsi" w:cs="Arial"/>
          <w:b/>
          <w:color w:val="1F497D" w:themeColor="text2"/>
          <w:sz w:val="32"/>
          <w:szCs w:val="32"/>
        </w:rPr>
        <w:tab/>
      </w:r>
      <w:r>
        <w:rPr>
          <w:rFonts w:asciiTheme="minorHAnsi" w:hAnsiTheme="minorHAnsi" w:cs="Arial"/>
          <w:b/>
          <w:color w:val="1F497D" w:themeColor="text2"/>
          <w:sz w:val="32"/>
          <w:szCs w:val="32"/>
        </w:rPr>
        <w:tab/>
      </w:r>
      <w:r>
        <w:rPr>
          <w:rFonts w:asciiTheme="minorHAnsi" w:hAnsiTheme="minorHAnsi" w:cs="Arial"/>
          <w:b/>
          <w:color w:val="1F497D" w:themeColor="text2"/>
          <w:sz w:val="32"/>
          <w:szCs w:val="32"/>
        </w:rPr>
        <w:tab/>
      </w:r>
      <w:r>
        <w:rPr>
          <w:rFonts w:asciiTheme="minorHAnsi" w:hAnsiTheme="minorHAnsi" w:cs="Arial"/>
          <w:b/>
          <w:color w:val="1F497D" w:themeColor="text2"/>
          <w:sz w:val="32"/>
          <w:szCs w:val="32"/>
        </w:rPr>
        <w:tab/>
      </w:r>
      <w:r>
        <w:rPr>
          <w:rFonts w:asciiTheme="minorHAnsi" w:hAnsiTheme="minorHAnsi" w:cs="Arial"/>
          <w:b/>
          <w:color w:val="1F497D" w:themeColor="text2"/>
          <w:sz w:val="32"/>
          <w:szCs w:val="32"/>
        </w:rPr>
        <w:tab/>
      </w:r>
      <w:r>
        <w:rPr>
          <w:rFonts w:asciiTheme="minorHAnsi" w:hAnsiTheme="minorHAnsi" w:cs="Arial"/>
          <w:b/>
          <w:color w:val="1F497D" w:themeColor="text2"/>
          <w:sz w:val="32"/>
          <w:szCs w:val="32"/>
        </w:rPr>
        <w:tab/>
      </w:r>
      <w:r>
        <w:rPr>
          <w:rFonts w:asciiTheme="minorHAnsi" w:hAnsiTheme="minorHAnsi" w:cs="Arial"/>
          <w:b/>
          <w:color w:val="1F497D" w:themeColor="text2"/>
          <w:sz w:val="32"/>
          <w:szCs w:val="32"/>
        </w:rPr>
        <w:tab/>
      </w:r>
      <w:r w:rsidR="00854C77">
        <w:rPr>
          <w:rFonts w:asciiTheme="minorHAnsi" w:hAnsiTheme="minorHAnsi" w:cs="Arial"/>
          <w:b/>
        </w:rPr>
        <w:t>June</w:t>
      </w:r>
      <w:r w:rsidRPr="0073187C">
        <w:rPr>
          <w:rFonts w:asciiTheme="minorHAnsi" w:hAnsiTheme="minorHAnsi" w:cs="Arial"/>
          <w:b/>
        </w:rPr>
        <w:t xml:space="preserve"> 2015</w:t>
      </w:r>
    </w:p>
    <w:p w:rsidR="0073187C" w:rsidRDefault="0073187C" w:rsidP="0073187C">
      <w:pPr>
        <w:rPr>
          <w:rFonts w:asciiTheme="minorHAnsi" w:hAnsiTheme="minorHAnsi" w:cs="Arial"/>
          <w:b/>
          <w:color w:val="1F497D" w:themeColor="text2"/>
          <w:sz w:val="32"/>
          <w:szCs w:val="32"/>
        </w:rPr>
      </w:pPr>
    </w:p>
    <w:p w:rsidR="0077429A" w:rsidRPr="0077429A" w:rsidRDefault="0077429A" w:rsidP="0077429A">
      <w:pPr>
        <w:rPr>
          <w:rFonts w:asciiTheme="minorHAnsi" w:hAnsiTheme="minorHAnsi" w:cs="Arial"/>
          <w:b/>
          <w:color w:val="1F497D" w:themeColor="text2"/>
          <w:sz w:val="32"/>
          <w:szCs w:val="32"/>
        </w:rPr>
      </w:pPr>
      <w:r w:rsidRPr="0077429A">
        <w:rPr>
          <w:rFonts w:asciiTheme="minorHAnsi" w:hAnsiTheme="minorHAnsi" w:cs="Arial"/>
          <w:b/>
          <w:color w:val="1F497D" w:themeColor="text2"/>
          <w:sz w:val="32"/>
          <w:szCs w:val="32"/>
        </w:rPr>
        <w:t>Review of Victorian Human Rights and Responsibilities Charter</w:t>
      </w:r>
    </w:p>
    <w:p w:rsidR="0077429A" w:rsidRPr="00234CDC" w:rsidRDefault="0077429A" w:rsidP="0077429A">
      <w:pPr>
        <w:rPr>
          <w:rFonts w:asciiTheme="minorHAnsi" w:hAnsiTheme="minorHAnsi"/>
        </w:rPr>
      </w:pPr>
    </w:p>
    <w:p w:rsidR="00234CDC" w:rsidRDefault="0077429A" w:rsidP="0077429A">
      <w:pPr>
        <w:rPr>
          <w:rFonts w:asciiTheme="minorHAnsi" w:hAnsiTheme="minorHAnsi"/>
        </w:rPr>
      </w:pPr>
      <w:r w:rsidRPr="00234CDC">
        <w:rPr>
          <w:rFonts w:asciiTheme="minorHAnsi" w:hAnsiTheme="minorHAnsi"/>
        </w:rPr>
        <w:t xml:space="preserve">Disability Advocacy Victoria Inc. (DAV) is the state peak agency for independent disability advocacy in the state of Victoria with membership of fourteen disability advocacy agencies funded through both state and national programs.  </w:t>
      </w:r>
    </w:p>
    <w:p w:rsidR="00234CDC" w:rsidRDefault="00234CDC" w:rsidP="0077429A">
      <w:pPr>
        <w:rPr>
          <w:rFonts w:asciiTheme="minorHAnsi" w:hAnsiTheme="minorHAnsi"/>
        </w:rPr>
      </w:pPr>
    </w:p>
    <w:p w:rsidR="0077429A" w:rsidRDefault="0077429A" w:rsidP="0077429A">
      <w:pPr>
        <w:rPr>
          <w:rFonts w:asciiTheme="minorHAnsi" w:hAnsiTheme="minorHAnsi"/>
        </w:rPr>
      </w:pPr>
      <w:r w:rsidRPr="00234CDC">
        <w:rPr>
          <w:rFonts w:asciiTheme="minorHAnsi" w:hAnsiTheme="minorHAnsi"/>
        </w:rPr>
        <w:t xml:space="preserve">These funding streams are independent of disability service delivery, providing independent disability advocacy.  This includes individual advocacy, systemic advocacy, self advocacy, legal advocacy and self advocacy.  </w:t>
      </w:r>
    </w:p>
    <w:p w:rsidR="00234CDC" w:rsidRPr="00234CDC" w:rsidRDefault="00234CDC" w:rsidP="0077429A">
      <w:pPr>
        <w:rPr>
          <w:rFonts w:asciiTheme="minorHAnsi" w:hAnsiTheme="minorHAnsi"/>
        </w:rPr>
      </w:pPr>
    </w:p>
    <w:p w:rsidR="0077429A" w:rsidRDefault="0077429A" w:rsidP="0077429A">
      <w:pPr>
        <w:rPr>
          <w:rFonts w:asciiTheme="minorHAnsi" w:hAnsiTheme="minorHAnsi"/>
        </w:rPr>
      </w:pPr>
      <w:r w:rsidRPr="00234CDC">
        <w:rPr>
          <w:rFonts w:asciiTheme="minorHAnsi" w:hAnsiTheme="minorHAnsi"/>
        </w:rPr>
        <w:t xml:space="preserve">The Victorian Charter of Human Rights and Responsibilities provides an invaluable tool to disability advocates.  With a framework that promotes the understanding of rights, a language for negotiating entitlement as well as setting out some baseline expectations for all Victorians, including people with disabilities.  Disability advocates have been using the Charter for a number of years now in their day to day work, usually outside of the courts.  </w:t>
      </w:r>
    </w:p>
    <w:p w:rsidR="00234CDC" w:rsidRPr="00234CDC" w:rsidRDefault="00234CDC" w:rsidP="0077429A">
      <w:pPr>
        <w:rPr>
          <w:rFonts w:asciiTheme="minorHAnsi" w:hAnsiTheme="minorHAnsi"/>
        </w:rPr>
      </w:pPr>
    </w:p>
    <w:p w:rsidR="0077429A" w:rsidRDefault="0077429A" w:rsidP="0077429A">
      <w:pPr>
        <w:tabs>
          <w:tab w:val="left" w:pos="5357"/>
        </w:tabs>
        <w:rPr>
          <w:rFonts w:asciiTheme="minorHAnsi" w:hAnsiTheme="minorHAnsi"/>
        </w:rPr>
      </w:pPr>
      <w:r w:rsidRPr="00234CDC">
        <w:rPr>
          <w:rFonts w:asciiTheme="minorHAnsi" w:hAnsiTheme="minorHAnsi"/>
        </w:rPr>
        <w:t>DAV makes the following recommendations:</w:t>
      </w:r>
    </w:p>
    <w:p w:rsidR="00234CDC" w:rsidRPr="00234CDC" w:rsidRDefault="00234CDC" w:rsidP="0077429A">
      <w:pPr>
        <w:tabs>
          <w:tab w:val="left" w:pos="5357"/>
        </w:tabs>
        <w:rPr>
          <w:rFonts w:asciiTheme="minorHAnsi" w:hAnsiTheme="minorHAnsi"/>
        </w:rPr>
      </w:pPr>
    </w:p>
    <w:p w:rsidR="0077429A" w:rsidRPr="00234CDC" w:rsidRDefault="0077429A" w:rsidP="0077429A">
      <w:pPr>
        <w:tabs>
          <w:tab w:val="left" w:pos="5357"/>
        </w:tabs>
        <w:rPr>
          <w:rFonts w:asciiTheme="minorHAnsi" w:hAnsiTheme="minorHAnsi"/>
          <w:b/>
        </w:rPr>
      </w:pPr>
      <w:r w:rsidRPr="00234CDC">
        <w:rPr>
          <w:rFonts w:asciiTheme="minorHAnsi" w:hAnsiTheme="minorHAnsi"/>
          <w:b/>
        </w:rPr>
        <w:t>1. Free standing course of action under the Charter</w:t>
      </w:r>
    </w:p>
    <w:p w:rsidR="0077429A" w:rsidRDefault="0077429A" w:rsidP="0077429A">
      <w:pPr>
        <w:tabs>
          <w:tab w:val="left" w:pos="5357"/>
        </w:tabs>
        <w:rPr>
          <w:rFonts w:asciiTheme="minorHAnsi" w:hAnsiTheme="minorHAnsi"/>
        </w:rPr>
      </w:pPr>
      <w:r w:rsidRPr="00234CDC">
        <w:rPr>
          <w:rFonts w:asciiTheme="minorHAnsi" w:hAnsiTheme="minorHAnsi"/>
        </w:rPr>
        <w:t>Court action is costly, time consuming and requires other legislation to use the Charter.  DAV would welcome an amendment containing a free standing cause of action for breaches of protected human rights under the Charter.</w:t>
      </w:r>
    </w:p>
    <w:p w:rsidR="00234CDC" w:rsidRPr="00234CDC" w:rsidRDefault="00234CDC" w:rsidP="0077429A">
      <w:pPr>
        <w:tabs>
          <w:tab w:val="left" w:pos="5357"/>
        </w:tabs>
        <w:rPr>
          <w:rFonts w:asciiTheme="minorHAnsi" w:hAnsiTheme="minorHAnsi"/>
        </w:rPr>
      </w:pPr>
    </w:p>
    <w:p w:rsidR="0077429A" w:rsidRPr="00234CDC" w:rsidRDefault="0077429A" w:rsidP="0077429A">
      <w:pPr>
        <w:tabs>
          <w:tab w:val="left" w:pos="5357"/>
        </w:tabs>
        <w:rPr>
          <w:rFonts w:asciiTheme="minorHAnsi" w:hAnsiTheme="minorHAnsi"/>
          <w:b/>
        </w:rPr>
      </w:pPr>
      <w:r w:rsidRPr="00234CDC">
        <w:rPr>
          <w:rFonts w:asciiTheme="minorHAnsi" w:hAnsiTheme="minorHAnsi"/>
          <w:b/>
        </w:rPr>
        <w:t>2. Expanding the Charter to include all Social, Civil and Economic Rights</w:t>
      </w:r>
    </w:p>
    <w:p w:rsidR="0077429A" w:rsidRDefault="0077429A" w:rsidP="0077429A">
      <w:pPr>
        <w:tabs>
          <w:tab w:val="left" w:pos="5357"/>
        </w:tabs>
        <w:rPr>
          <w:rFonts w:asciiTheme="minorHAnsi" w:hAnsiTheme="minorHAnsi"/>
        </w:rPr>
      </w:pPr>
      <w:r w:rsidRPr="00234CDC">
        <w:rPr>
          <w:rFonts w:asciiTheme="minorHAnsi" w:hAnsiTheme="minorHAnsi"/>
        </w:rPr>
        <w:t>The Charter was introduced including a limited set of human rights, taken from the Covenant on Civil and Political Rights.  DAV would welcome the expansion of rights to include social and economic rights.  Data collected by advocacy agencies show significant numbers of issues fall outside of the charter including: health, housing, education and accessibility.</w:t>
      </w:r>
    </w:p>
    <w:p w:rsidR="00234CDC" w:rsidRPr="00234CDC" w:rsidRDefault="00234CDC" w:rsidP="0077429A">
      <w:pPr>
        <w:tabs>
          <w:tab w:val="left" w:pos="5357"/>
        </w:tabs>
        <w:rPr>
          <w:rFonts w:asciiTheme="minorHAnsi" w:hAnsiTheme="minorHAnsi"/>
        </w:rPr>
      </w:pPr>
    </w:p>
    <w:p w:rsidR="0077429A" w:rsidRPr="00234CDC" w:rsidRDefault="0077429A" w:rsidP="0077429A">
      <w:pPr>
        <w:tabs>
          <w:tab w:val="left" w:pos="5357"/>
        </w:tabs>
        <w:rPr>
          <w:rFonts w:asciiTheme="minorHAnsi" w:hAnsiTheme="minorHAnsi"/>
          <w:b/>
        </w:rPr>
      </w:pPr>
      <w:r w:rsidRPr="00234CDC">
        <w:rPr>
          <w:rFonts w:asciiTheme="minorHAnsi" w:hAnsiTheme="minorHAnsi"/>
          <w:b/>
        </w:rPr>
        <w:t>3. Monitoring</w:t>
      </w:r>
    </w:p>
    <w:p w:rsidR="0077429A" w:rsidRDefault="0077429A" w:rsidP="0077429A">
      <w:pPr>
        <w:tabs>
          <w:tab w:val="left" w:pos="5357"/>
        </w:tabs>
        <w:rPr>
          <w:rFonts w:asciiTheme="minorHAnsi" w:hAnsiTheme="minorHAnsi"/>
        </w:rPr>
      </w:pPr>
      <w:r w:rsidRPr="00234CDC">
        <w:rPr>
          <w:rFonts w:asciiTheme="minorHAnsi" w:hAnsiTheme="minorHAnsi"/>
        </w:rPr>
        <w:t>The Charter should mandate regular reporting by public authorities on steps they have taken to monitor and evaluate their process for ensuring that their decisions and actions are compatible with human rights.  A formal public process to collect data based on the experiences of individuals in the community both on the compliance and non-compliance of the Charter.</w:t>
      </w:r>
    </w:p>
    <w:p w:rsidR="00234CDC" w:rsidRPr="00234CDC" w:rsidRDefault="00234CDC" w:rsidP="0077429A">
      <w:pPr>
        <w:tabs>
          <w:tab w:val="left" w:pos="5357"/>
        </w:tabs>
        <w:rPr>
          <w:rFonts w:asciiTheme="minorHAnsi" w:hAnsiTheme="minorHAnsi"/>
        </w:rPr>
      </w:pPr>
    </w:p>
    <w:p w:rsidR="0077429A" w:rsidRPr="00234CDC" w:rsidRDefault="0077429A" w:rsidP="0077429A">
      <w:pPr>
        <w:tabs>
          <w:tab w:val="left" w:pos="5357"/>
        </w:tabs>
        <w:rPr>
          <w:rFonts w:asciiTheme="minorHAnsi" w:hAnsiTheme="minorHAnsi"/>
          <w:b/>
        </w:rPr>
      </w:pPr>
      <w:r w:rsidRPr="00234CDC">
        <w:rPr>
          <w:rFonts w:asciiTheme="minorHAnsi" w:hAnsiTheme="minorHAnsi"/>
          <w:b/>
        </w:rPr>
        <w:t>4. Inclusive of other Instruments</w:t>
      </w:r>
    </w:p>
    <w:p w:rsidR="0077429A" w:rsidRPr="00234CDC" w:rsidRDefault="0077429A" w:rsidP="0077429A">
      <w:pPr>
        <w:tabs>
          <w:tab w:val="left" w:pos="5357"/>
        </w:tabs>
        <w:rPr>
          <w:rFonts w:asciiTheme="minorHAnsi" w:hAnsiTheme="minorHAnsi"/>
        </w:rPr>
      </w:pPr>
      <w:r w:rsidRPr="00234CDC">
        <w:rPr>
          <w:rFonts w:asciiTheme="minorHAnsi" w:hAnsiTheme="minorHAnsi"/>
        </w:rPr>
        <w:t>For people with disability there is significant change underway with the full roll out of the National Disability Insurance Scheme however there are concerns that the Charter has no effect on federal government decisions and it is unclear how the Charter will operate under the National Disability Insurance Scheme.</w:t>
      </w:r>
    </w:p>
    <w:p w:rsidR="0077429A" w:rsidRDefault="0077429A" w:rsidP="0077429A">
      <w:pPr>
        <w:tabs>
          <w:tab w:val="left" w:pos="5357"/>
        </w:tabs>
        <w:rPr>
          <w:sz w:val="24"/>
          <w:szCs w:val="24"/>
        </w:rPr>
      </w:pPr>
      <w:r w:rsidRPr="00234CDC">
        <w:rPr>
          <w:rFonts w:asciiTheme="minorHAnsi" w:hAnsiTheme="minorHAnsi"/>
        </w:rPr>
        <w:tab/>
      </w:r>
    </w:p>
    <w:sectPr w:rsidR="0077429A" w:rsidSect="0073187C">
      <w:headerReference w:type="default" r:id="rId7"/>
      <w:footerReference w:type="default" r:id="rId8"/>
      <w:headerReference w:type="first" r:id="rId9"/>
      <w:pgSz w:w="11906" w:h="16838"/>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CD1" w:rsidRDefault="00EA0CD1" w:rsidP="003510C9">
      <w:r>
        <w:separator/>
      </w:r>
    </w:p>
  </w:endnote>
  <w:endnote w:type="continuationSeparator" w:id="0">
    <w:p w:rsidR="00EA0CD1" w:rsidRDefault="00EA0CD1" w:rsidP="003510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elawadee">
    <w:panose1 w:val="020B0502040204020203"/>
    <w:charset w:val="00"/>
    <w:family w:val="swiss"/>
    <w:pitch w:val="variable"/>
    <w:sig w:usb0="810000AF" w:usb1="4000204B" w:usb2="00000000" w:usb3="00000000" w:csb0="0001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4B7" w:rsidRPr="006E003C" w:rsidRDefault="003A24B7" w:rsidP="00274B26">
    <w:pPr>
      <w:pStyle w:val="Footer"/>
      <w:pBdr>
        <w:top w:val="single" w:sz="4" w:space="1" w:color="auto"/>
      </w:pBdr>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CD1" w:rsidRDefault="00EA0CD1" w:rsidP="003510C9">
      <w:r>
        <w:separator/>
      </w:r>
    </w:p>
  </w:footnote>
  <w:footnote w:type="continuationSeparator" w:id="0">
    <w:p w:rsidR="00EA0CD1" w:rsidRDefault="00EA0CD1" w:rsidP="003510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03C" w:rsidRDefault="006E003C">
    <w:pPr>
      <w:pStyle w:val="Header"/>
    </w:pPr>
  </w:p>
  <w:p w:rsidR="006E003C" w:rsidRDefault="006E003C">
    <w:pPr>
      <w:pStyle w:val="Header"/>
    </w:pPr>
  </w:p>
  <w:p w:rsidR="006E003C" w:rsidRDefault="006E003C">
    <w:pPr>
      <w:pStyle w:val="Header"/>
    </w:pPr>
  </w:p>
  <w:p w:rsidR="006E003C" w:rsidRDefault="006E00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CA9" w:rsidRDefault="0073187C" w:rsidP="00240D9E">
    <w:pPr>
      <w:widowControl w:val="0"/>
      <w:tabs>
        <w:tab w:val="left" w:pos="1476"/>
      </w:tabs>
      <w:autoSpaceDE w:val="0"/>
      <w:autoSpaceDN w:val="0"/>
      <w:jc w:val="right"/>
      <w:rPr>
        <w:rFonts w:cs="Leelawadee"/>
        <w:b/>
        <w:color w:val="8A0A0A"/>
        <w:sz w:val="48"/>
        <w:szCs w:val="48"/>
      </w:rPr>
    </w:pPr>
    <w:r>
      <w:rPr>
        <w:rFonts w:cs="Leelawadee"/>
        <w:b/>
        <w:noProof/>
        <w:color w:val="8A0A0A"/>
        <w:sz w:val="48"/>
        <w:szCs w:val="48"/>
        <w:lang w:eastAsia="en-AU"/>
      </w:rPr>
      <w:drawing>
        <wp:anchor distT="0" distB="0" distL="114300" distR="114300" simplePos="0" relativeHeight="251663360" behindDoc="1" locked="0" layoutInCell="1" allowOverlap="1">
          <wp:simplePos x="0" y="0"/>
          <wp:positionH relativeFrom="column">
            <wp:posOffset>-15240</wp:posOffset>
          </wp:positionH>
          <wp:positionV relativeFrom="paragraph">
            <wp:posOffset>488315</wp:posOffset>
          </wp:positionV>
          <wp:extent cx="2668270" cy="301625"/>
          <wp:effectExtent l="19050" t="0" r="0" b="0"/>
          <wp:wrapTight wrapText="bothSides">
            <wp:wrapPolygon edited="0">
              <wp:start x="-154" y="0"/>
              <wp:lineTo x="-154" y="20463"/>
              <wp:lineTo x="21590" y="20463"/>
              <wp:lineTo x="21590" y="0"/>
              <wp:lineTo x="-154" y="0"/>
            </wp:wrapPolygon>
          </wp:wrapTight>
          <wp:docPr id="4" name="Picture 3" descr="C:\Users\Caroline\Dropbox\DAV Inc\DAV Marketing Communications\2015\New DAV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e\Dropbox\DAV Inc\DAV Marketing Communications\2015\New DAV tagline.jpg"/>
                  <pic:cNvPicPr>
                    <a:picLocks noChangeAspect="1" noChangeArrowheads="1"/>
                  </pic:cNvPicPr>
                </pic:nvPicPr>
                <pic:blipFill>
                  <a:blip r:embed="rId1"/>
                  <a:srcRect/>
                  <a:stretch>
                    <a:fillRect/>
                  </a:stretch>
                </pic:blipFill>
                <pic:spPr bwMode="auto">
                  <a:xfrm>
                    <a:off x="0" y="0"/>
                    <a:ext cx="2668270" cy="301625"/>
                  </a:xfrm>
                  <a:prstGeom prst="rect">
                    <a:avLst/>
                  </a:prstGeom>
                  <a:noFill/>
                  <a:ln w="9525">
                    <a:noFill/>
                    <a:miter lim="800000"/>
                    <a:headEnd/>
                    <a:tailEnd/>
                  </a:ln>
                </pic:spPr>
              </pic:pic>
            </a:graphicData>
          </a:graphic>
        </wp:anchor>
      </w:drawing>
    </w:r>
    <w:r>
      <w:rPr>
        <w:rFonts w:cs="Leelawadee"/>
        <w:b/>
        <w:noProof/>
        <w:color w:val="8A0A0A"/>
        <w:sz w:val="48"/>
        <w:szCs w:val="48"/>
        <w:lang w:eastAsia="en-AU"/>
      </w:rPr>
      <w:drawing>
        <wp:anchor distT="0" distB="0" distL="114300" distR="114300" simplePos="0" relativeHeight="251664384" behindDoc="1" locked="0" layoutInCell="1" allowOverlap="1">
          <wp:simplePos x="0" y="0"/>
          <wp:positionH relativeFrom="column">
            <wp:posOffset>-15240</wp:posOffset>
          </wp:positionH>
          <wp:positionV relativeFrom="paragraph">
            <wp:posOffset>-362585</wp:posOffset>
          </wp:positionV>
          <wp:extent cx="1666240" cy="897890"/>
          <wp:effectExtent l="19050" t="0" r="0" b="0"/>
          <wp:wrapTight wrapText="bothSides">
            <wp:wrapPolygon edited="0">
              <wp:start x="-247" y="0"/>
              <wp:lineTo x="-247" y="21081"/>
              <wp:lineTo x="21485" y="21081"/>
              <wp:lineTo x="21485" y="0"/>
              <wp:lineTo x="-247" y="0"/>
            </wp:wrapPolygon>
          </wp:wrapTight>
          <wp:docPr id="1" name="Picture 1" descr="C:\Users\Caroline\Dropbox\DAV Inc\DAV Marketing Communications\2015\New DAV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Dropbox\DAV Inc\DAV Marketing Communications\2015\New DAV logo jpg.jpg"/>
                  <pic:cNvPicPr>
                    <a:picLocks noChangeAspect="1" noChangeArrowheads="1"/>
                  </pic:cNvPicPr>
                </pic:nvPicPr>
                <pic:blipFill>
                  <a:blip r:embed="rId2"/>
                  <a:srcRect/>
                  <a:stretch>
                    <a:fillRect/>
                  </a:stretch>
                </pic:blipFill>
                <pic:spPr bwMode="auto">
                  <a:xfrm>
                    <a:off x="0" y="0"/>
                    <a:ext cx="1666240" cy="89789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711F3"/>
    <w:multiLevelType w:val="hybridMultilevel"/>
    <w:tmpl w:val="82F0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737A5"/>
    <w:multiLevelType w:val="hybridMultilevel"/>
    <w:tmpl w:val="F6D4CC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D7C2E67"/>
    <w:multiLevelType w:val="hybridMultilevel"/>
    <w:tmpl w:val="B08C6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E8E45A1"/>
    <w:multiLevelType w:val="hybridMultilevel"/>
    <w:tmpl w:val="C9E87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1CB6748"/>
    <w:multiLevelType w:val="hybridMultilevel"/>
    <w:tmpl w:val="134EE1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7811E70"/>
    <w:multiLevelType w:val="hybridMultilevel"/>
    <w:tmpl w:val="C714C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8054FDA"/>
    <w:multiLevelType w:val="hybridMultilevel"/>
    <w:tmpl w:val="619408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ACC52B0"/>
    <w:multiLevelType w:val="hybridMultilevel"/>
    <w:tmpl w:val="DB747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2224599"/>
    <w:multiLevelType w:val="hybridMultilevel"/>
    <w:tmpl w:val="66F06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3083ECA"/>
    <w:multiLevelType w:val="hybridMultilevel"/>
    <w:tmpl w:val="04384922"/>
    <w:lvl w:ilvl="0" w:tplc="29642AD4">
      <w:start w:val="1"/>
      <w:numFmt w:val="decimal"/>
      <w:lvlText w:val="%1."/>
      <w:lvlJc w:val="left"/>
      <w:pPr>
        <w:ind w:left="720" w:hanging="360"/>
      </w:pPr>
      <w:rPr>
        <w:rFonts w:ascii="Leelawadee" w:hAnsi="Leelawadee"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F313F85"/>
    <w:multiLevelType w:val="hybridMultilevel"/>
    <w:tmpl w:val="02002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5ED5717"/>
    <w:multiLevelType w:val="hybridMultilevel"/>
    <w:tmpl w:val="9DBCD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6612CB0"/>
    <w:multiLevelType w:val="hybridMultilevel"/>
    <w:tmpl w:val="51662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E7C2FD2"/>
    <w:multiLevelType w:val="hybridMultilevel"/>
    <w:tmpl w:val="AE3CA43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abstractNumId w:val="0"/>
  </w:num>
  <w:num w:numId="2">
    <w:abstractNumId w:val="10"/>
  </w:num>
  <w:num w:numId="3">
    <w:abstractNumId w:val="4"/>
  </w:num>
  <w:num w:numId="4">
    <w:abstractNumId w:val="1"/>
  </w:num>
  <w:num w:numId="5">
    <w:abstractNumId w:val="7"/>
  </w:num>
  <w:num w:numId="6">
    <w:abstractNumId w:val="8"/>
  </w:num>
  <w:num w:numId="7">
    <w:abstractNumId w:val="9"/>
  </w:num>
  <w:num w:numId="8">
    <w:abstractNumId w:val="13"/>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2"/>
  </w:num>
  <w:num w:numId="12">
    <w:abstractNumId w:val="3"/>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54274"/>
  </w:hdrShapeDefaults>
  <w:footnotePr>
    <w:footnote w:id="-1"/>
    <w:footnote w:id="0"/>
  </w:footnotePr>
  <w:endnotePr>
    <w:endnote w:id="-1"/>
    <w:endnote w:id="0"/>
  </w:endnotePr>
  <w:compat/>
  <w:rsids>
    <w:rsidRoot w:val="00A56D7E"/>
    <w:rsid w:val="000133FD"/>
    <w:rsid w:val="00036E66"/>
    <w:rsid w:val="00082253"/>
    <w:rsid w:val="0008273E"/>
    <w:rsid w:val="00085A78"/>
    <w:rsid w:val="00090EFC"/>
    <w:rsid w:val="000C6908"/>
    <w:rsid w:val="001005BC"/>
    <w:rsid w:val="00110B5D"/>
    <w:rsid w:val="00111700"/>
    <w:rsid w:val="00113517"/>
    <w:rsid w:val="001513CE"/>
    <w:rsid w:val="0017563E"/>
    <w:rsid w:val="001D14B8"/>
    <w:rsid w:val="001D3083"/>
    <w:rsid w:val="001D7151"/>
    <w:rsid w:val="00204309"/>
    <w:rsid w:val="00234CDC"/>
    <w:rsid w:val="0023652B"/>
    <w:rsid w:val="00240D9E"/>
    <w:rsid w:val="00274B26"/>
    <w:rsid w:val="002E3764"/>
    <w:rsid w:val="00344B3B"/>
    <w:rsid w:val="003510C9"/>
    <w:rsid w:val="00360BFC"/>
    <w:rsid w:val="0037298D"/>
    <w:rsid w:val="00382379"/>
    <w:rsid w:val="0038381A"/>
    <w:rsid w:val="00393720"/>
    <w:rsid w:val="00394148"/>
    <w:rsid w:val="0039682C"/>
    <w:rsid w:val="003A24B7"/>
    <w:rsid w:val="003D47DF"/>
    <w:rsid w:val="004044F3"/>
    <w:rsid w:val="00410AD6"/>
    <w:rsid w:val="00412B7C"/>
    <w:rsid w:val="00473839"/>
    <w:rsid w:val="004966BB"/>
    <w:rsid w:val="004B50F9"/>
    <w:rsid w:val="005E7E41"/>
    <w:rsid w:val="00656CE2"/>
    <w:rsid w:val="00664826"/>
    <w:rsid w:val="006676AB"/>
    <w:rsid w:val="006B02A9"/>
    <w:rsid w:val="006B1254"/>
    <w:rsid w:val="006B2668"/>
    <w:rsid w:val="006B4F18"/>
    <w:rsid w:val="006D747A"/>
    <w:rsid w:val="006E003C"/>
    <w:rsid w:val="006E192A"/>
    <w:rsid w:val="00701110"/>
    <w:rsid w:val="00711A67"/>
    <w:rsid w:val="0073187C"/>
    <w:rsid w:val="0075148E"/>
    <w:rsid w:val="00765774"/>
    <w:rsid w:val="0077429A"/>
    <w:rsid w:val="00776EE5"/>
    <w:rsid w:val="00797BAB"/>
    <w:rsid w:val="007D4597"/>
    <w:rsid w:val="007F2731"/>
    <w:rsid w:val="007F5FC8"/>
    <w:rsid w:val="0080697F"/>
    <w:rsid w:val="00854C77"/>
    <w:rsid w:val="0085770F"/>
    <w:rsid w:val="00867531"/>
    <w:rsid w:val="008902B1"/>
    <w:rsid w:val="008A32E8"/>
    <w:rsid w:val="008F4CDC"/>
    <w:rsid w:val="008F5532"/>
    <w:rsid w:val="00902600"/>
    <w:rsid w:val="00927247"/>
    <w:rsid w:val="00964B0F"/>
    <w:rsid w:val="009748C5"/>
    <w:rsid w:val="009D4523"/>
    <w:rsid w:val="009D5BEE"/>
    <w:rsid w:val="009E5037"/>
    <w:rsid w:val="00A25B14"/>
    <w:rsid w:val="00A56D7E"/>
    <w:rsid w:val="00A85CA9"/>
    <w:rsid w:val="00A86E00"/>
    <w:rsid w:val="00AB2864"/>
    <w:rsid w:val="00AD5E81"/>
    <w:rsid w:val="00B3545F"/>
    <w:rsid w:val="00B47A81"/>
    <w:rsid w:val="00B51E42"/>
    <w:rsid w:val="00B71DC1"/>
    <w:rsid w:val="00B71EF9"/>
    <w:rsid w:val="00BA3433"/>
    <w:rsid w:val="00BC296F"/>
    <w:rsid w:val="00BC7D0D"/>
    <w:rsid w:val="00C14A8E"/>
    <w:rsid w:val="00C3117E"/>
    <w:rsid w:val="00C71408"/>
    <w:rsid w:val="00C73E8F"/>
    <w:rsid w:val="00C90053"/>
    <w:rsid w:val="00CF103B"/>
    <w:rsid w:val="00D10D00"/>
    <w:rsid w:val="00D3012D"/>
    <w:rsid w:val="00D96321"/>
    <w:rsid w:val="00DA1A42"/>
    <w:rsid w:val="00DB65EC"/>
    <w:rsid w:val="00DC009D"/>
    <w:rsid w:val="00DE2F58"/>
    <w:rsid w:val="00DE4586"/>
    <w:rsid w:val="00DF3FED"/>
    <w:rsid w:val="00E20B87"/>
    <w:rsid w:val="00E43980"/>
    <w:rsid w:val="00E50B52"/>
    <w:rsid w:val="00E82DC6"/>
    <w:rsid w:val="00E90A86"/>
    <w:rsid w:val="00E90D4F"/>
    <w:rsid w:val="00E941B3"/>
    <w:rsid w:val="00EA0CD1"/>
    <w:rsid w:val="00EA7F92"/>
    <w:rsid w:val="00ED0C62"/>
    <w:rsid w:val="00ED1441"/>
    <w:rsid w:val="00EE2FCC"/>
    <w:rsid w:val="00EF5521"/>
    <w:rsid w:val="00F0201D"/>
    <w:rsid w:val="00F90E0D"/>
    <w:rsid w:val="00F96EE2"/>
    <w:rsid w:val="00FB2B54"/>
    <w:rsid w:val="00FD1A2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BFC"/>
    <w:pPr>
      <w:spacing w:after="0" w:line="240" w:lineRule="auto"/>
    </w:pPr>
    <w:rPr>
      <w:rFonts w:ascii="Arial" w:hAnsi="Arial"/>
    </w:rPr>
  </w:style>
  <w:style w:type="paragraph" w:styleId="Heading1">
    <w:name w:val="heading 1"/>
    <w:basedOn w:val="Normal"/>
    <w:next w:val="Normal"/>
    <w:link w:val="Heading1Char"/>
    <w:uiPriority w:val="9"/>
    <w:qFormat/>
    <w:rsid w:val="003510C9"/>
    <w:pPr>
      <w:keepNext/>
      <w:keepLines/>
      <w:spacing w:before="480" w:line="276" w:lineRule="auto"/>
      <w:outlineLvl w:val="0"/>
    </w:pPr>
    <w:rPr>
      <w:rFonts w:ascii="Leelawadee" w:eastAsiaTheme="majorEastAsia" w:hAnsi="Leelawadee" w:cstheme="majorBidi"/>
      <w:b/>
      <w:bCs/>
      <w:color w:val="8A0A0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0C9"/>
    <w:rPr>
      <w:rFonts w:ascii="Leelawadee" w:eastAsiaTheme="majorEastAsia" w:hAnsi="Leelawadee" w:cstheme="majorBidi"/>
      <w:b/>
      <w:bCs/>
      <w:color w:val="8A0A0A"/>
      <w:sz w:val="28"/>
      <w:szCs w:val="28"/>
    </w:rPr>
  </w:style>
  <w:style w:type="paragraph" w:styleId="Header">
    <w:name w:val="header"/>
    <w:basedOn w:val="Normal"/>
    <w:link w:val="HeaderChar"/>
    <w:uiPriority w:val="99"/>
    <w:unhideWhenUsed/>
    <w:rsid w:val="003510C9"/>
    <w:pPr>
      <w:tabs>
        <w:tab w:val="center" w:pos="4513"/>
        <w:tab w:val="right" w:pos="9026"/>
      </w:tabs>
    </w:pPr>
    <w:rPr>
      <w:rFonts w:ascii="Leelawadee" w:hAnsi="Leelawadee"/>
      <w:sz w:val="24"/>
    </w:rPr>
  </w:style>
  <w:style w:type="character" w:customStyle="1" w:styleId="HeaderChar">
    <w:name w:val="Header Char"/>
    <w:basedOn w:val="DefaultParagraphFont"/>
    <w:link w:val="Header"/>
    <w:uiPriority w:val="99"/>
    <w:rsid w:val="003510C9"/>
    <w:rPr>
      <w:rFonts w:ascii="Leelawadee" w:hAnsi="Leelawadee"/>
    </w:rPr>
  </w:style>
  <w:style w:type="paragraph" w:styleId="Footer">
    <w:name w:val="footer"/>
    <w:basedOn w:val="Normal"/>
    <w:link w:val="FooterChar"/>
    <w:unhideWhenUsed/>
    <w:rsid w:val="003510C9"/>
    <w:pPr>
      <w:tabs>
        <w:tab w:val="center" w:pos="4513"/>
        <w:tab w:val="right" w:pos="9026"/>
      </w:tabs>
    </w:pPr>
    <w:rPr>
      <w:rFonts w:ascii="Leelawadee" w:hAnsi="Leelawadee"/>
      <w:sz w:val="24"/>
    </w:rPr>
  </w:style>
  <w:style w:type="character" w:customStyle="1" w:styleId="FooterChar">
    <w:name w:val="Footer Char"/>
    <w:basedOn w:val="DefaultParagraphFont"/>
    <w:link w:val="Footer"/>
    <w:uiPriority w:val="99"/>
    <w:rsid w:val="003510C9"/>
    <w:rPr>
      <w:rFonts w:ascii="Leelawadee" w:hAnsi="Leelawadee"/>
    </w:rPr>
  </w:style>
  <w:style w:type="paragraph" w:styleId="BalloonText">
    <w:name w:val="Balloon Text"/>
    <w:basedOn w:val="Normal"/>
    <w:link w:val="BalloonTextChar"/>
    <w:uiPriority w:val="99"/>
    <w:semiHidden/>
    <w:unhideWhenUsed/>
    <w:rsid w:val="003510C9"/>
    <w:rPr>
      <w:rFonts w:ascii="Tahoma" w:hAnsi="Tahoma" w:cs="Tahoma"/>
      <w:sz w:val="16"/>
      <w:szCs w:val="16"/>
    </w:rPr>
  </w:style>
  <w:style w:type="character" w:customStyle="1" w:styleId="BalloonTextChar">
    <w:name w:val="Balloon Text Char"/>
    <w:basedOn w:val="DefaultParagraphFont"/>
    <w:link w:val="BalloonText"/>
    <w:uiPriority w:val="99"/>
    <w:semiHidden/>
    <w:rsid w:val="003510C9"/>
    <w:rPr>
      <w:rFonts w:ascii="Tahoma" w:hAnsi="Tahoma" w:cs="Tahoma"/>
      <w:sz w:val="16"/>
      <w:szCs w:val="16"/>
    </w:rPr>
  </w:style>
  <w:style w:type="table" w:styleId="TableGrid">
    <w:name w:val="Table Grid"/>
    <w:basedOn w:val="TableNormal"/>
    <w:rsid w:val="00351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133FD"/>
    <w:rPr>
      <w:color w:val="0000FF" w:themeColor="hyperlink"/>
      <w:u w:val="single"/>
    </w:rPr>
  </w:style>
  <w:style w:type="paragraph" w:styleId="ListParagraph">
    <w:name w:val="List Paragraph"/>
    <w:basedOn w:val="Normal"/>
    <w:uiPriority w:val="34"/>
    <w:qFormat/>
    <w:rsid w:val="006B1254"/>
    <w:pPr>
      <w:ind w:left="720"/>
    </w:pPr>
    <w:rPr>
      <w:rFonts w:ascii="Times New Roman" w:eastAsia="Times New Roman" w:hAnsi="Times New Roman" w:cs="Times New Roman"/>
      <w:sz w:val="24"/>
      <w:szCs w:val="24"/>
    </w:rPr>
  </w:style>
  <w:style w:type="paragraph" w:customStyle="1" w:styleId="Default">
    <w:name w:val="Default"/>
    <w:rsid w:val="00036E66"/>
    <w:pPr>
      <w:autoSpaceDE w:val="0"/>
      <w:autoSpaceDN w:val="0"/>
      <w:adjustRightInd w:val="0"/>
      <w:spacing w:after="0" w:line="240" w:lineRule="auto"/>
    </w:pPr>
    <w:rPr>
      <w:rFonts w:ascii="Arial" w:hAnsi="Arial" w:cs="Arial"/>
      <w:color w:val="000000"/>
      <w:sz w:val="24"/>
      <w:szCs w:val="24"/>
      <w:lang w:val="en-US"/>
    </w:rPr>
  </w:style>
  <w:style w:type="paragraph" w:styleId="CommentText">
    <w:name w:val="annotation text"/>
    <w:basedOn w:val="Normal"/>
    <w:link w:val="CommentTextChar"/>
    <w:semiHidden/>
    <w:unhideWhenUsed/>
    <w:rsid w:val="00DB65EC"/>
    <w:pPr>
      <w:spacing w:after="200"/>
    </w:pPr>
    <w:rPr>
      <w:rFonts w:ascii="Calibri" w:eastAsia="Times New Roman" w:hAnsi="Calibri" w:cs="Times New Roman"/>
      <w:sz w:val="20"/>
      <w:szCs w:val="20"/>
      <w:lang w:val="en-US"/>
    </w:rPr>
  </w:style>
  <w:style w:type="character" w:customStyle="1" w:styleId="CommentTextChar">
    <w:name w:val="Comment Text Char"/>
    <w:basedOn w:val="DefaultParagraphFont"/>
    <w:link w:val="CommentText"/>
    <w:semiHidden/>
    <w:rsid w:val="00DB65EC"/>
    <w:rPr>
      <w:rFonts w:ascii="Calibri" w:eastAsia="Times New Roman" w:hAnsi="Calibri"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92924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ne\Downloads\LET%20-%20Letter%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 - Letter template (1)</Template>
  <TotalTime>2</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Livanos</dc:creator>
  <cp:lastModifiedBy>Caroline Livanos</cp:lastModifiedBy>
  <cp:revision>4</cp:revision>
  <cp:lastPrinted>2014-01-14T05:41:00Z</cp:lastPrinted>
  <dcterms:created xsi:type="dcterms:W3CDTF">2015-07-21T04:06:00Z</dcterms:created>
  <dcterms:modified xsi:type="dcterms:W3CDTF">2015-07-21T04:07:00Z</dcterms:modified>
</cp:coreProperties>
</file>