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7C" w:rsidRDefault="0073187C" w:rsidP="0073187C">
      <w:pPr>
        <w:rPr>
          <w:rFonts w:asciiTheme="minorHAnsi" w:hAnsiTheme="minorHAnsi" w:cs="Arial"/>
          <w:b/>
          <w:color w:val="1F497D" w:themeColor="text2"/>
          <w:sz w:val="32"/>
          <w:szCs w:val="32"/>
        </w:rPr>
      </w:pPr>
    </w:p>
    <w:p w:rsidR="0073187C" w:rsidRPr="0073187C" w:rsidRDefault="0073187C" w:rsidP="0073187C">
      <w:pPr>
        <w:rPr>
          <w:rFonts w:asciiTheme="minorHAnsi" w:hAnsiTheme="minorHAnsi" w:cs="Arial"/>
          <w:b/>
        </w:rPr>
      </w:pP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sidR="00854C77">
        <w:rPr>
          <w:rFonts w:asciiTheme="minorHAnsi" w:hAnsiTheme="minorHAnsi" w:cs="Arial"/>
          <w:b/>
        </w:rPr>
        <w:t>June</w:t>
      </w:r>
      <w:r w:rsidRPr="0073187C">
        <w:rPr>
          <w:rFonts w:asciiTheme="minorHAnsi" w:hAnsiTheme="minorHAnsi" w:cs="Arial"/>
          <w:b/>
        </w:rPr>
        <w:t xml:space="preserve"> 2015</w:t>
      </w:r>
    </w:p>
    <w:p w:rsidR="0073187C" w:rsidRDefault="0073187C" w:rsidP="0073187C">
      <w:pPr>
        <w:rPr>
          <w:rFonts w:asciiTheme="minorHAnsi" w:hAnsiTheme="minorHAnsi" w:cs="Arial"/>
          <w:b/>
          <w:color w:val="1F497D" w:themeColor="text2"/>
          <w:sz w:val="32"/>
          <w:szCs w:val="32"/>
        </w:rPr>
      </w:pPr>
    </w:p>
    <w:p w:rsidR="00854C77" w:rsidRPr="00854C77" w:rsidRDefault="00854C77" w:rsidP="00854C77">
      <w:pPr>
        <w:rPr>
          <w:rFonts w:asciiTheme="minorHAnsi" w:hAnsiTheme="minorHAnsi" w:cs="Arial"/>
          <w:b/>
          <w:color w:val="1F497D" w:themeColor="text2"/>
          <w:sz w:val="32"/>
          <w:szCs w:val="32"/>
        </w:rPr>
      </w:pPr>
      <w:r w:rsidRPr="00854C77">
        <w:rPr>
          <w:rFonts w:asciiTheme="minorHAnsi" w:hAnsiTheme="minorHAnsi" w:cs="Arial"/>
          <w:b/>
          <w:color w:val="1F497D" w:themeColor="text2"/>
          <w:sz w:val="32"/>
          <w:szCs w:val="32"/>
        </w:rPr>
        <w:t>Inquiry into Violence, Abuse and Neglect against People with Disabilities in Institutional and Residential Settings</w:t>
      </w:r>
    </w:p>
    <w:p w:rsidR="00854C77" w:rsidRPr="00854C77" w:rsidRDefault="00854C77" w:rsidP="00854C77">
      <w:pPr>
        <w:rPr>
          <w:rFonts w:asciiTheme="minorHAnsi" w:hAnsiTheme="minorHAnsi"/>
        </w:rPr>
      </w:pPr>
    </w:p>
    <w:p w:rsidR="00854C77" w:rsidRDefault="00854C77" w:rsidP="00854C77">
      <w:pPr>
        <w:rPr>
          <w:rFonts w:asciiTheme="minorHAnsi" w:hAnsiTheme="minorHAnsi"/>
        </w:rPr>
      </w:pPr>
      <w:r w:rsidRPr="00854C77">
        <w:rPr>
          <w:rFonts w:asciiTheme="minorHAnsi" w:hAnsiTheme="minorHAnsi"/>
        </w:rPr>
        <w:t xml:space="preserve">Disability Advocacy Victoria Inc. (DAV) is the state peak agency for independent disability advocacy in the state of Victoria with membership of fourteen disability advocacy agencies funded through both state and national programs.  </w:t>
      </w:r>
    </w:p>
    <w:p w:rsidR="00854C77" w:rsidRDefault="00854C77" w:rsidP="00854C77">
      <w:pPr>
        <w:rPr>
          <w:rFonts w:asciiTheme="minorHAnsi" w:hAnsiTheme="minorHAnsi"/>
        </w:rPr>
      </w:pPr>
    </w:p>
    <w:p w:rsidR="00854C77" w:rsidRDefault="00854C77" w:rsidP="00854C77">
      <w:pPr>
        <w:rPr>
          <w:rFonts w:asciiTheme="minorHAnsi" w:hAnsiTheme="minorHAnsi"/>
        </w:rPr>
      </w:pPr>
      <w:r>
        <w:rPr>
          <w:rFonts w:asciiTheme="minorHAnsi" w:hAnsiTheme="minorHAnsi"/>
        </w:rPr>
        <w:t>T</w:t>
      </w:r>
      <w:r w:rsidRPr="00854C77">
        <w:rPr>
          <w:rFonts w:asciiTheme="minorHAnsi" w:hAnsiTheme="minorHAnsi"/>
        </w:rPr>
        <w:t xml:space="preserve">hese funding streams are independent of disability service delivery, providing independent disability advocacy.  This includes individual advocacy, systemic advocacy, self advocacy, legal advocacy and self advocacy.  </w:t>
      </w:r>
    </w:p>
    <w:p w:rsidR="00854C77" w:rsidRPr="00854C77" w:rsidRDefault="00854C77" w:rsidP="00854C77">
      <w:pPr>
        <w:rPr>
          <w:rFonts w:asciiTheme="minorHAnsi" w:hAnsiTheme="minorHAnsi"/>
        </w:rPr>
      </w:pPr>
    </w:p>
    <w:p w:rsidR="00854C77" w:rsidRDefault="00854C77" w:rsidP="00854C77">
      <w:pPr>
        <w:rPr>
          <w:rFonts w:asciiTheme="minorHAnsi" w:hAnsiTheme="minorHAnsi"/>
        </w:rPr>
      </w:pPr>
      <w:r w:rsidRPr="00854C77">
        <w:rPr>
          <w:rFonts w:asciiTheme="minorHAnsi" w:hAnsiTheme="minorHAnsi"/>
        </w:rPr>
        <w:t xml:space="preserve">Member agencies, </w:t>
      </w:r>
      <w:r w:rsidRPr="00854C77">
        <w:rPr>
          <w:rFonts w:asciiTheme="minorHAnsi" w:hAnsiTheme="minorHAnsi"/>
          <w:b/>
        </w:rPr>
        <w:t>Communication Rights Australia</w:t>
      </w:r>
      <w:r w:rsidRPr="00854C77">
        <w:rPr>
          <w:rFonts w:asciiTheme="minorHAnsi" w:hAnsiTheme="minorHAnsi"/>
        </w:rPr>
        <w:t xml:space="preserve"> and the </w:t>
      </w:r>
      <w:r w:rsidRPr="00854C77">
        <w:rPr>
          <w:rFonts w:asciiTheme="minorHAnsi" w:hAnsiTheme="minorHAnsi"/>
          <w:b/>
        </w:rPr>
        <w:t>Disability Discrimination Legal Service</w:t>
      </w:r>
      <w:r w:rsidRPr="00854C77">
        <w:rPr>
          <w:rFonts w:asciiTheme="minorHAnsi" w:hAnsiTheme="minorHAnsi"/>
        </w:rPr>
        <w:t xml:space="preserve"> have made submission to the Inquiry and Disability Advocacy Victoria fully </w:t>
      </w:r>
      <w:proofErr w:type="gramStart"/>
      <w:r w:rsidRPr="00854C77">
        <w:rPr>
          <w:rFonts w:asciiTheme="minorHAnsi" w:hAnsiTheme="minorHAnsi"/>
        </w:rPr>
        <w:t>endorse</w:t>
      </w:r>
      <w:proofErr w:type="gramEnd"/>
      <w:r w:rsidRPr="00854C77">
        <w:rPr>
          <w:rFonts w:asciiTheme="minorHAnsi" w:hAnsiTheme="minorHAnsi"/>
        </w:rPr>
        <w:t xml:space="preserve"> the submission.  Please see recommendations made below.</w:t>
      </w:r>
    </w:p>
    <w:p w:rsidR="00854C77" w:rsidRPr="00854C77" w:rsidRDefault="00854C77" w:rsidP="00854C77">
      <w:pPr>
        <w:rPr>
          <w:rFonts w:asciiTheme="minorHAnsi" w:hAnsiTheme="minorHAnsi"/>
        </w:rPr>
      </w:pPr>
    </w:p>
    <w:p w:rsidR="00854C77" w:rsidRPr="00854C77" w:rsidRDefault="00854C77" w:rsidP="00854C77">
      <w:pPr>
        <w:rPr>
          <w:rFonts w:asciiTheme="minorHAnsi" w:hAnsiTheme="minorHAnsi"/>
        </w:rPr>
      </w:pPr>
      <w:r w:rsidRPr="00854C77">
        <w:rPr>
          <w:rFonts w:asciiTheme="minorHAnsi" w:hAnsiTheme="minorHAnsi"/>
          <w:b/>
        </w:rPr>
        <w:t>Recommendation1:</w:t>
      </w:r>
      <w:r>
        <w:rPr>
          <w:rFonts w:asciiTheme="minorHAnsi" w:hAnsiTheme="minorHAnsi"/>
          <w:b/>
        </w:rPr>
        <w:t xml:space="preserve"> </w:t>
      </w:r>
      <w:r w:rsidRPr="00854C77">
        <w:rPr>
          <w:rFonts w:asciiTheme="minorHAnsi" w:hAnsiTheme="minorHAnsi"/>
        </w:rPr>
        <w:t>A commitment by government to compulsory formal speech pathology/language assessments every two years for people with disabilities who have complex communication needs throughout their schooling. Such assessments should be accompanied by speech pathology/language programs which have measurable outcomes and are monitored and evaluated every term.</w:t>
      </w:r>
    </w:p>
    <w:p w:rsidR="00854C77" w:rsidRDefault="00854C77" w:rsidP="00854C77">
      <w:pPr>
        <w:rPr>
          <w:rFonts w:asciiTheme="minorHAnsi" w:hAnsiTheme="minorHAnsi"/>
        </w:rPr>
      </w:pPr>
    </w:p>
    <w:p w:rsidR="00854C77" w:rsidRPr="00854C77" w:rsidRDefault="00854C77" w:rsidP="00854C77">
      <w:pPr>
        <w:rPr>
          <w:rFonts w:asciiTheme="minorHAnsi" w:hAnsiTheme="minorHAnsi"/>
        </w:rPr>
      </w:pPr>
      <w:r w:rsidRPr="00854C77">
        <w:rPr>
          <w:rFonts w:asciiTheme="minorHAnsi" w:hAnsiTheme="minorHAnsi"/>
          <w:b/>
        </w:rPr>
        <w:t>Recommendation 2:</w:t>
      </w:r>
      <w:r>
        <w:rPr>
          <w:rFonts w:asciiTheme="minorHAnsi" w:hAnsiTheme="minorHAnsi"/>
          <w:b/>
        </w:rPr>
        <w:t xml:space="preserve"> </w:t>
      </w:r>
      <w:r w:rsidRPr="00854C77">
        <w:rPr>
          <w:rFonts w:asciiTheme="minorHAnsi" w:hAnsiTheme="minorHAnsi"/>
        </w:rPr>
        <w:t>A commitment by government to fund all communication devices necessary throughout the life of a person with a disability who has complex communication needs, and ongoing training for staff to work with that person.</w:t>
      </w:r>
    </w:p>
    <w:p w:rsidR="00854C77" w:rsidRDefault="00854C77" w:rsidP="00854C77">
      <w:pPr>
        <w:rPr>
          <w:rFonts w:asciiTheme="minorHAnsi" w:hAnsiTheme="minorHAnsi"/>
        </w:rPr>
      </w:pPr>
    </w:p>
    <w:p w:rsidR="00854C77" w:rsidRPr="00854C77" w:rsidRDefault="00854C77" w:rsidP="00854C77">
      <w:pPr>
        <w:rPr>
          <w:rFonts w:asciiTheme="minorHAnsi" w:hAnsiTheme="minorHAnsi"/>
        </w:rPr>
      </w:pPr>
      <w:r w:rsidRPr="00854C77">
        <w:rPr>
          <w:rFonts w:asciiTheme="minorHAnsi" w:hAnsiTheme="minorHAnsi"/>
          <w:b/>
        </w:rPr>
        <w:t>Recommendation 3:</w:t>
      </w:r>
      <w:r>
        <w:rPr>
          <w:rFonts w:asciiTheme="minorHAnsi" w:hAnsiTheme="minorHAnsi"/>
          <w:b/>
        </w:rPr>
        <w:t xml:space="preserve"> </w:t>
      </w:r>
      <w:r w:rsidRPr="00854C77">
        <w:rPr>
          <w:rFonts w:asciiTheme="minorHAnsi" w:hAnsiTheme="minorHAnsi"/>
        </w:rPr>
        <w:t xml:space="preserve">The funding of Communication Support Workers to enable people with complex communication needs to use such workers to communicate to independent bodies, modelled on the funding for </w:t>
      </w:r>
      <w:proofErr w:type="spellStart"/>
      <w:r w:rsidRPr="00854C77">
        <w:rPr>
          <w:rFonts w:asciiTheme="minorHAnsi" w:hAnsiTheme="minorHAnsi"/>
        </w:rPr>
        <w:t>Auslan</w:t>
      </w:r>
      <w:proofErr w:type="spellEnd"/>
      <w:r w:rsidRPr="00854C77">
        <w:rPr>
          <w:rFonts w:asciiTheme="minorHAnsi" w:hAnsiTheme="minorHAnsi"/>
        </w:rPr>
        <w:t xml:space="preserve"> Interpreters available to the Deaf Community. </w:t>
      </w:r>
      <w:proofErr w:type="gramStart"/>
      <w:r w:rsidRPr="00854C77">
        <w:rPr>
          <w:rFonts w:asciiTheme="minorHAnsi" w:hAnsiTheme="minorHAnsi"/>
        </w:rPr>
        <w:t>Intermediary services available to people with disabilities in the United Kingdom for legal matters could inform this model.</w:t>
      </w:r>
      <w:proofErr w:type="gramEnd"/>
    </w:p>
    <w:p w:rsidR="00854C77" w:rsidRDefault="00854C77" w:rsidP="00854C77">
      <w:pPr>
        <w:rPr>
          <w:rFonts w:asciiTheme="minorHAnsi" w:hAnsiTheme="minorHAnsi"/>
        </w:rPr>
      </w:pPr>
    </w:p>
    <w:p w:rsidR="00854C77" w:rsidRPr="00854C77" w:rsidRDefault="00854C77" w:rsidP="00854C77">
      <w:pPr>
        <w:rPr>
          <w:rFonts w:asciiTheme="minorHAnsi" w:hAnsiTheme="minorHAnsi"/>
        </w:rPr>
      </w:pPr>
      <w:r w:rsidRPr="00854C77">
        <w:rPr>
          <w:rFonts w:asciiTheme="minorHAnsi" w:hAnsiTheme="minorHAnsi"/>
          <w:b/>
        </w:rPr>
        <w:t>Recommendation 4:</w:t>
      </w:r>
      <w:r>
        <w:rPr>
          <w:rFonts w:asciiTheme="minorHAnsi" w:hAnsiTheme="minorHAnsi"/>
          <w:b/>
        </w:rPr>
        <w:t xml:space="preserve"> </w:t>
      </w:r>
      <w:r w:rsidRPr="00854C77">
        <w:rPr>
          <w:rFonts w:asciiTheme="minorHAnsi" w:hAnsiTheme="minorHAnsi"/>
        </w:rPr>
        <w:t>Counselling services for victims of crime receive training to work with people who have complex disabilities, communication or speech difficulties.</w:t>
      </w:r>
    </w:p>
    <w:p w:rsidR="00854C77" w:rsidRDefault="00854C77" w:rsidP="00854C77">
      <w:pPr>
        <w:rPr>
          <w:rFonts w:asciiTheme="minorHAnsi" w:hAnsiTheme="minorHAnsi"/>
        </w:rPr>
      </w:pPr>
    </w:p>
    <w:p w:rsidR="00854C77" w:rsidRPr="00854C77" w:rsidRDefault="00854C77" w:rsidP="00854C77">
      <w:pPr>
        <w:rPr>
          <w:rFonts w:asciiTheme="minorHAnsi" w:hAnsiTheme="minorHAnsi"/>
        </w:rPr>
      </w:pPr>
      <w:r w:rsidRPr="00854C77">
        <w:rPr>
          <w:rFonts w:asciiTheme="minorHAnsi" w:hAnsiTheme="minorHAnsi"/>
          <w:b/>
        </w:rPr>
        <w:t>Recommendation 5:</w:t>
      </w:r>
      <w:r>
        <w:rPr>
          <w:rFonts w:asciiTheme="minorHAnsi" w:hAnsiTheme="minorHAnsi"/>
          <w:b/>
        </w:rPr>
        <w:t xml:space="preserve"> </w:t>
      </w:r>
      <w:r w:rsidRPr="00854C77">
        <w:rPr>
          <w:rFonts w:asciiTheme="minorHAnsi" w:hAnsiTheme="minorHAnsi"/>
        </w:rPr>
        <w:t>Resources allocated to research best practice strategies to protect the rights of people who are vulnerable, marginalised and isolated.</w:t>
      </w:r>
    </w:p>
    <w:p w:rsidR="00854C77" w:rsidRDefault="00854C77" w:rsidP="00854C77">
      <w:pPr>
        <w:rPr>
          <w:rFonts w:asciiTheme="minorHAnsi" w:hAnsiTheme="minorHAnsi"/>
        </w:rPr>
      </w:pPr>
    </w:p>
    <w:p w:rsidR="00854C77" w:rsidRPr="00854C77" w:rsidRDefault="00854C77" w:rsidP="00854C77">
      <w:pPr>
        <w:rPr>
          <w:rFonts w:asciiTheme="minorHAnsi" w:hAnsiTheme="minorHAnsi"/>
          <w:b/>
        </w:rPr>
      </w:pPr>
      <w:r w:rsidRPr="00854C77">
        <w:rPr>
          <w:rFonts w:asciiTheme="minorHAnsi" w:hAnsiTheme="minorHAnsi"/>
          <w:b/>
        </w:rPr>
        <w:t>Recommendation 6:</w:t>
      </w:r>
    </w:p>
    <w:p w:rsidR="00854C77" w:rsidRPr="00854C77" w:rsidRDefault="00854C77" w:rsidP="00854C77">
      <w:pPr>
        <w:rPr>
          <w:rFonts w:asciiTheme="minorHAnsi" w:hAnsiTheme="minorHAnsi"/>
        </w:rPr>
      </w:pPr>
      <w:r w:rsidRPr="00854C77">
        <w:rPr>
          <w:rFonts w:asciiTheme="minorHAnsi" w:hAnsiTheme="minorHAnsi"/>
        </w:rPr>
        <w:t>Governments to commit to upholding the rights of people with disabilities by ensuring complaints handling processes are independent of service provision and government influence.</w:t>
      </w:r>
    </w:p>
    <w:p w:rsidR="00854C77" w:rsidRDefault="00854C77" w:rsidP="00854C77">
      <w:pPr>
        <w:rPr>
          <w:rFonts w:asciiTheme="minorHAnsi" w:hAnsiTheme="minorHAnsi"/>
        </w:rPr>
      </w:pPr>
    </w:p>
    <w:p w:rsidR="00854C77" w:rsidRPr="00854C77" w:rsidRDefault="00854C77" w:rsidP="00854C77">
      <w:pPr>
        <w:rPr>
          <w:rFonts w:asciiTheme="minorHAnsi" w:hAnsiTheme="minorHAnsi"/>
          <w:b/>
        </w:rPr>
      </w:pPr>
      <w:r w:rsidRPr="00854C77">
        <w:rPr>
          <w:rFonts w:asciiTheme="minorHAnsi" w:hAnsiTheme="minorHAnsi"/>
          <w:b/>
        </w:rPr>
        <w:t>Recommendation 7:</w:t>
      </w:r>
    </w:p>
    <w:p w:rsidR="00854C77" w:rsidRPr="00854C77" w:rsidRDefault="00854C77" w:rsidP="00854C77">
      <w:pPr>
        <w:rPr>
          <w:rFonts w:asciiTheme="minorHAnsi" w:hAnsiTheme="minorHAnsi"/>
        </w:rPr>
      </w:pPr>
      <w:r w:rsidRPr="00854C77">
        <w:rPr>
          <w:rFonts w:asciiTheme="minorHAnsi" w:hAnsiTheme="minorHAnsi"/>
        </w:rPr>
        <w:t xml:space="preserve">Governments commit to the adequate funding of independent advocacy organisations and community </w:t>
      </w:r>
      <w:proofErr w:type="gramStart"/>
      <w:r w:rsidRPr="00854C77">
        <w:rPr>
          <w:rFonts w:asciiTheme="minorHAnsi" w:hAnsiTheme="minorHAnsi"/>
        </w:rPr>
        <w:t>capacity</w:t>
      </w:r>
      <w:proofErr w:type="gramEnd"/>
      <w:r w:rsidRPr="00854C77">
        <w:rPr>
          <w:rFonts w:asciiTheme="minorHAnsi" w:hAnsiTheme="minorHAnsi"/>
        </w:rPr>
        <w:t xml:space="preserve"> building programs to assist individuals who are isolated, marginalised and vulnerable.</w:t>
      </w:r>
    </w:p>
    <w:p w:rsidR="00854C77" w:rsidRDefault="00854C77" w:rsidP="00854C77">
      <w:pPr>
        <w:rPr>
          <w:rFonts w:asciiTheme="minorHAnsi" w:hAnsiTheme="minorHAnsi"/>
        </w:rPr>
      </w:pPr>
    </w:p>
    <w:p w:rsidR="00854C77" w:rsidRPr="00854C77" w:rsidRDefault="00854C77" w:rsidP="00854C77">
      <w:pPr>
        <w:rPr>
          <w:rFonts w:asciiTheme="minorHAnsi" w:hAnsiTheme="minorHAnsi"/>
        </w:rPr>
      </w:pPr>
      <w:r w:rsidRPr="00854C77">
        <w:rPr>
          <w:rFonts w:asciiTheme="minorHAnsi" w:hAnsiTheme="minorHAnsi"/>
          <w:b/>
        </w:rPr>
        <w:t>Recommendation 8:</w:t>
      </w:r>
      <w:r>
        <w:rPr>
          <w:rFonts w:asciiTheme="minorHAnsi" w:hAnsiTheme="minorHAnsi"/>
          <w:b/>
        </w:rPr>
        <w:t xml:space="preserve"> </w:t>
      </w:r>
      <w:r w:rsidRPr="00854C77">
        <w:rPr>
          <w:rFonts w:asciiTheme="minorHAnsi" w:hAnsiTheme="minorHAnsi"/>
        </w:rPr>
        <w:t xml:space="preserve">A national registration to be established to register and monitor staff who have undertaken the highest level of scrutiny, and as a consequence are permitted to work with vulnerable and marginalised people. Such a system should also include international criminal checks when necessary. </w:t>
      </w:r>
    </w:p>
    <w:p w:rsidR="00854C77" w:rsidRDefault="00854C77" w:rsidP="00854C77">
      <w:pPr>
        <w:rPr>
          <w:rFonts w:asciiTheme="minorHAnsi" w:hAnsiTheme="minorHAnsi"/>
        </w:rPr>
      </w:pPr>
    </w:p>
    <w:p w:rsidR="00854C77" w:rsidRPr="00854C77" w:rsidRDefault="00854C77" w:rsidP="00854C77">
      <w:pPr>
        <w:rPr>
          <w:rFonts w:asciiTheme="minorHAnsi" w:hAnsiTheme="minorHAnsi"/>
        </w:rPr>
      </w:pPr>
      <w:r w:rsidRPr="00854C77">
        <w:rPr>
          <w:rFonts w:asciiTheme="minorHAnsi" w:hAnsiTheme="minorHAnsi"/>
          <w:b/>
        </w:rPr>
        <w:t>Recommendation 9:</w:t>
      </w:r>
      <w:r>
        <w:rPr>
          <w:rFonts w:asciiTheme="minorHAnsi" w:hAnsiTheme="minorHAnsi"/>
          <w:b/>
        </w:rPr>
        <w:t xml:space="preserve"> </w:t>
      </w:r>
      <w:r w:rsidRPr="00854C77">
        <w:rPr>
          <w:rFonts w:asciiTheme="minorHAnsi" w:hAnsiTheme="minorHAnsi"/>
        </w:rPr>
        <w:t>In Victoria, the dismantling of the Office of the Disability Services Commissioner and replacement with an independent statutory authority that has powers to investigate and direct.</w:t>
      </w:r>
    </w:p>
    <w:p w:rsidR="00854C77" w:rsidRDefault="00854C77" w:rsidP="00854C77">
      <w:pPr>
        <w:rPr>
          <w:rFonts w:asciiTheme="minorHAnsi" w:hAnsiTheme="minorHAnsi"/>
        </w:rPr>
      </w:pPr>
    </w:p>
    <w:p w:rsidR="00854C77" w:rsidRPr="00854C77" w:rsidRDefault="00854C77" w:rsidP="00854C77">
      <w:pPr>
        <w:rPr>
          <w:rFonts w:asciiTheme="minorHAnsi" w:hAnsiTheme="minorHAnsi"/>
        </w:rPr>
      </w:pPr>
      <w:r w:rsidRPr="00854C77">
        <w:rPr>
          <w:rFonts w:asciiTheme="minorHAnsi" w:hAnsiTheme="minorHAnsi"/>
          <w:b/>
        </w:rPr>
        <w:t>Recommendation 10:</w:t>
      </w:r>
      <w:r>
        <w:rPr>
          <w:rFonts w:asciiTheme="minorHAnsi" w:hAnsiTheme="minorHAnsi"/>
          <w:b/>
        </w:rPr>
        <w:t xml:space="preserve"> </w:t>
      </w:r>
      <w:r w:rsidRPr="00854C77">
        <w:rPr>
          <w:rFonts w:asciiTheme="minorHAnsi" w:hAnsiTheme="minorHAnsi"/>
        </w:rPr>
        <w:t xml:space="preserve">The widespread adoption of the South Australian Attorney-General’s Department Guidelines of ‘Supporting vulnerable witnesses in the giving of evidence’ throughout Australia as best practice. </w:t>
      </w:r>
    </w:p>
    <w:p w:rsidR="00854C77" w:rsidRDefault="00854C77" w:rsidP="00854C77">
      <w:pPr>
        <w:rPr>
          <w:rFonts w:asciiTheme="minorHAnsi" w:hAnsiTheme="minorHAnsi"/>
        </w:rPr>
      </w:pPr>
    </w:p>
    <w:p w:rsidR="00854C77" w:rsidRPr="00854C77" w:rsidRDefault="00854C77" w:rsidP="00854C77">
      <w:pPr>
        <w:rPr>
          <w:rFonts w:asciiTheme="minorHAnsi" w:hAnsiTheme="minorHAnsi"/>
        </w:rPr>
      </w:pPr>
      <w:r w:rsidRPr="00854C77">
        <w:rPr>
          <w:rFonts w:asciiTheme="minorHAnsi" w:hAnsiTheme="minorHAnsi"/>
          <w:b/>
        </w:rPr>
        <w:t>Recommendation 11:</w:t>
      </w:r>
      <w:r>
        <w:rPr>
          <w:rFonts w:asciiTheme="minorHAnsi" w:hAnsiTheme="minorHAnsi"/>
          <w:b/>
        </w:rPr>
        <w:t xml:space="preserve"> </w:t>
      </w:r>
      <w:r w:rsidRPr="00854C77">
        <w:rPr>
          <w:rFonts w:asciiTheme="minorHAnsi" w:hAnsiTheme="minorHAnsi"/>
        </w:rPr>
        <w:t>Increased funding (as per the recommendations of the Productivity Commission) for specialised disability Community Legal Centres.</w:t>
      </w:r>
    </w:p>
    <w:p w:rsidR="00854C77" w:rsidRDefault="00854C77" w:rsidP="00854C77">
      <w:pPr>
        <w:rPr>
          <w:rFonts w:asciiTheme="minorHAnsi" w:hAnsiTheme="minorHAnsi"/>
        </w:rPr>
      </w:pPr>
    </w:p>
    <w:p w:rsidR="00854C77" w:rsidRPr="00854C77" w:rsidRDefault="00854C77" w:rsidP="00854C77">
      <w:pPr>
        <w:rPr>
          <w:rFonts w:asciiTheme="minorHAnsi" w:hAnsiTheme="minorHAnsi"/>
        </w:rPr>
      </w:pPr>
      <w:r w:rsidRPr="00854C77">
        <w:rPr>
          <w:rFonts w:asciiTheme="minorHAnsi" w:hAnsiTheme="minorHAnsi"/>
          <w:b/>
        </w:rPr>
        <w:t>Recommendation 12:</w:t>
      </w:r>
      <w:r>
        <w:rPr>
          <w:rFonts w:asciiTheme="minorHAnsi" w:hAnsiTheme="minorHAnsi"/>
          <w:b/>
        </w:rPr>
        <w:t xml:space="preserve"> </w:t>
      </w:r>
      <w:r w:rsidRPr="00854C77">
        <w:rPr>
          <w:rFonts w:asciiTheme="minorHAnsi" w:hAnsiTheme="minorHAnsi"/>
        </w:rPr>
        <w:t>Minimum qualifications required for those working with people with disabilities across all areas of education and service provision.</w:t>
      </w:r>
    </w:p>
    <w:p w:rsidR="00854C77" w:rsidRDefault="00854C77" w:rsidP="00854C77">
      <w:pPr>
        <w:rPr>
          <w:rFonts w:asciiTheme="minorHAnsi" w:hAnsiTheme="minorHAnsi"/>
        </w:rPr>
      </w:pPr>
    </w:p>
    <w:p w:rsidR="00854C77" w:rsidRPr="00854C77" w:rsidRDefault="00854C77" w:rsidP="00854C77">
      <w:pPr>
        <w:rPr>
          <w:rFonts w:asciiTheme="minorHAnsi" w:hAnsiTheme="minorHAnsi"/>
        </w:rPr>
      </w:pPr>
      <w:r w:rsidRPr="00854C77">
        <w:rPr>
          <w:rFonts w:asciiTheme="minorHAnsi" w:hAnsiTheme="minorHAnsi"/>
          <w:b/>
        </w:rPr>
        <w:t>Recommendation 13:</w:t>
      </w:r>
      <w:r>
        <w:rPr>
          <w:rFonts w:asciiTheme="minorHAnsi" w:hAnsiTheme="minorHAnsi"/>
          <w:b/>
        </w:rPr>
        <w:t xml:space="preserve"> </w:t>
      </w:r>
      <w:r w:rsidRPr="00854C77">
        <w:rPr>
          <w:rFonts w:asciiTheme="minorHAnsi" w:hAnsiTheme="minorHAnsi"/>
        </w:rPr>
        <w:t>Independent Schools Commissioner established with powers to investigate and direct.</w:t>
      </w:r>
    </w:p>
    <w:p w:rsidR="00854C77" w:rsidRDefault="00854C77" w:rsidP="00854C77">
      <w:pPr>
        <w:rPr>
          <w:rFonts w:asciiTheme="minorHAnsi" w:hAnsiTheme="minorHAnsi"/>
        </w:rPr>
      </w:pPr>
    </w:p>
    <w:p w:rsidR="00854C77" w:rsidRPr="00854C77" w:rsidRDefault="00854C77" w:rsidP="00854C77">
      <w:pPr>
        <w:rPr>
          <w:rFonts w:asciiTheme="minorHAnsi" w:hAnsiTheme="minorHAnsi"/>
        </w:rPr>
      </w:pPr>
      <w:r w:rsidRPr="00854C77">
        <w:rPr>
          <w:rFonts w:asciiTheme="minorHAnsi" w:hAnsiTheme="minorHAnsi"/>
          <w:b/>
        </w:rPr>
        <w:t>Recommendation 14:</w:t>
      </w:r>
      <w:r>
        <w:rPr>
          <w:rFonts w:asciiTheme="minorHAnsi" w:hAnsiTheme="minorHAnsi"/>
          <w:b/>
        </w:rPr>
        <w:t xml:space="preserve"> </w:t>
      </w:r>
      <w:r w:rsidRPr="00854C77">
        <w:rPr>
          <w:rFonts w:asciiTheme="minorHAnsi" w:hAnsiTheme="minorHAnsi"/>
        </w:rPr>
        <w:t xml:space="preserve">All government schools require </w:t>
      </w:r>
      <w:proofErr w:type="gramStart"/>
      <w:r w:rsidRPr="00854C77">
        <w:rPr>
          <w:rFonts w:asciiTheme="minorHAnsi" w:hAnsiTheme="minorHAnsi"/>
        </w:rPr>
        <w:t>to prohibit</w:t>
      </w:r>
      <w:proofErr w:type="gramEnd"/>
      <w:r w:rsidRPr="00854C77">
        <w:rPr>
          <w:rFonts w:asciiTheme="minorHAnsi" w:hAnsiTheme="minorHAnsi"/>
        </w:rPr>
        <w:t xml:space="preserve"> the seclusion of students with disabilities.</w:t>
      </w:r>
    </w:p>
    <w:p w:rsidR="00854C77" w:rsidRDefault="00854C77" w:rsidP="00854C77">
      <w:pPr>
        <w:rPr>
          <w:rFonts w:asciiTheme="minorHAnsi" w:hAnsiTheme="minorHAnsi"/>
        </w:rPr>
      </w:pPr>
    </w:p>
    <w:p w:rsidR="00854C77" w:rsidRPr="00854C77" w:rsidRDefault="00854C77" w:rsidP="00854C77">
      <w:pPr>
        <w:rPr>
          <w:rFonts w:asciiTheme="minorHAnsi" w:hAnsiTheme="minorHAnsi"/>
        </w:rPr>
      </w:pPr>
      <w:r w:rsidRPr="00854C77">
        <w:rPr>
          <w:rFonts w:asciiTheme="minorHAnsi" w:hAnsiTheme="minorHAnsi"/>
          <w:b/>
        </w:rPr>
        <w:t>Recommendation 15:</w:t>
      </w:r>
      <w:r>
        <w:rPr>
          <w:rFonts w:asciiTheme="minorHAnsi" w:hAnsiTheme="minorHAnsi"/>
          <w:b/>
        </w:rPr>
        <w:t xml:space="preserve"> </w:t>
      </w:r>
      <w:r w:rsidRPr="00854C77">
        <w:rPr>
          <w:rFonts w:asciiTheme="minorHAnsi" w:hAnsiTheme="minorHAnsi"/>
        </w:rPr>
        <w:t>Regulation of all restrictive practices in schools (Victoria only) through the Office of Professional Practice.</w:t>
      </w:r>
    </w:p>
    <w:p w:rsidR="00854C77" w:rsidRDefault="00854C77" w:rsidP="00854C77">
      <w:pPr>
        <w:rPr>
          <w:rFonts w:asciiTheme="minorHAnsi" w:hAnsiTheme="minorHAnsi"/>
        </w:rPr>
      </w:pPr>
    </w:p>
    <w:p w:rsidR="00854C77" w:rsidRPr="00854C77" w:rsidRDefault="00854C77" w:rsidP="00854C77">
      <w:pPr>
        <w:rPr>
          <w:rFonts w:asciiTheme="minorHAnsi" w:hAnsiTheme="minorHAnsi"/>
        </w:rPr>
      </w:pPr>
      <w:r w:rsidRPr="00854C77">
        <w:rPr>
          <w:rFonts w:asciiTheme="minorHAnsi" w:hAnsiTheme="minorHAnsi"/>
          <w:b/>
        </w:rPr>
        <w:t>Recommendation 16:</w:t>
      </w:r>
      <w:r>
        <w:rPr>
          <w:rFonts w:asciiTheme="minorHAnsi" w:hAnsiTheme="minorHAnsi"/>
          <w:b/>
        </w:rPr>
        <w:t xml:space="preserve"> </w:t>
      </w:r>
      <w:r w:rsidRPr="00854C77">
        <w:rPr>
          <w:rFonts w:asciiTheme="minorHAnsi" w:hAnsiTheme="minorHAnsi"/>
        </w:rPr>
        <w:t>Office of Professional Practice given statutory independence and removed from the Department Of Health and Human Services.</w:t>
      </w:r>
    </w:p>
    <w:p w:rsidR="00854C77" w:rsidRPr="00854C77" w:rsidRDefault="00854C77" w:rsidP="00854C77">
      <w:pPr>
        <w:rPr>
          <w:rFonts w:asciiTheme="minorHAnsi" w:hAnsiTheme="minorHAnsi"/>
        </w:rPr>
      </w:pPr>
    </w:p>
    <w:p w:rsidR="00854C77" w:rsidRPr="00854C77" w:rsidRDefault="00854C77" w:rsidP="00854C77">
      <w:pPr>
        <w:rPr>
          <w:rFonts w:asciiTheme="minorHAnsi" w:hAnsiTheme="minorHAnsi"/>
        </w:rPr>
      </w:pPr>
      <w:bookmarkStart w:id="0" w:name="_GoBack"/>
      <w:bookmarkEnd w:id="0"/>
    </w:p>
    <w:p w:rsidR="00854C77" w:rsidRPr="00854C77" w:rsidRDefault="00854C77" w:rsidP="00854C77">
      <w:pPr>
        <w:rPr>
          <w:rFonts w:asciiTheme="minorHAnsi" w:hAnsiTheme="minorHAnsi"/>
        </w:rPr>
      </w:pPr>
      <w:r w:rsidRPr="00854C77">
        <w:rPr>
          <w:rFonts w:asciiTheme="minorHAnsi" w:hAnsiTheme="minorHAnsi"/>
        </w:rPr>
        <w:t>Melanie Muir</w:t>
      </w:r>
    </w:p>
    <w:p w:rsidR="00854C77" w:rsidRDefault="00854C77" w:rsidP="00854C77">
      <w:pPr>
        <w:rPr>
          <w:rFonts w:asciiTheme="minorHAnsi" w:hAnsiTheme="minorHAnsi"/>
        </w:rPr>
      </w:pPr>
      <w:r w:rsidRPr="00854C77">
        <w:rPr>
          <w:rFonts w:asciiTheme="minorHAnsi" w:hAnsiTheme="minorHAnsi"/>
        </w:rPr>
        <w:t>Chairperson</w:t>
      </w:r>
    </w:p>
    <w:p w:rsidR="00854C77" w:rsidRPr="00854C77" w:rsidRDefault="00854C77" w:rsidP="00854C77">
      <w:pPr>
        <w:rPr>
          <w:rFonts w:asciiTheme="minorHAnsi" w:hAnsiTheme="minorHAnsi"/>
        </w:rPr>
      </w:pPr>
      <w:r>
        <w:rPr>
          <w:rFonts w:asciiTheme="minorHAnsi" w:hAnsiTheme="minorHAnsi"/>
        </w:rPr>
        <w:t>Disability Advocacy Victoria Inc.</w:t>
      </w:r>
    </w:p>
    <w:p w:rsidR="00854C77" w:rsidRPr="00854C77" w:rsidRDefault="00854C77" w:rsidP="00854C77">
      <w:pPr>
        <w:rPr>
          <w:rFonts w:asciiTheme="minorHAnsi" w:hAnsiTheme="minorHAnsi"/>
        </w:rPr>
      </w:pPr>
    </w:p>
    <w:p w:rsidR="0073187C" w:rsidRPr="00854C77" w:rsidRDefault="0073187C" w:rsidP="0073187C">
      <w:pPr>
        <w:rPr>
          <w:rFonts w:asciiTheme="minorHAnsi" w:hAnsiTheme="minorHAnsi" w:cs="Arial"/>
          <w:b/>
          <w:color w:val="1F497D" w:themeColor="text2"/>
        </w:rPr>
      </w:pPr>
    </w:p>
    <w:sectPr w:rsidR="0073187C" w:rsidRPr="00854C77" w:rsidSect="0073187C">
      <w:headerReference w:type="default" r:id="rId7"/>
      <w:footerReference w:type="default" r:id="rId8"/>
      <w:headerReference w:type="first" r:id="rId9"/>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253" w:rsidRDefault="00082253" w:rsidP="003510C9">
      <w:r>
        <w:separator/>
      </w:r>
    </w:p>
  </w:endnote>
  <w:endnote w:type="continuationSeparator" w:id="0">
    <w:p w:rsidR="00082253" w:rsidRDefault="00082253" w:rsidP="00351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810000AF" w:usb1="4000204B"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B7" w:rsidRPr="006E003C" w:rsidRDefault="003A24B7" w:rsidP="00274B26">
    <w:pPr>
      <w:pStyle w:val="Footer"/>
      <w:pBdr>
        <w:top w:val="single" w:sz="4" w:space="1" w:color="auto"/>
      </w:pBd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253" w:rsidRDefault="00082253" w:rsidP="003510C9">
      <w:r>
        <w:separator/>
      </w:r>
    </w:p>
  </w:footnote>
  <w:footnote w:type="continuationSeparator" w:id="0">
    <w:p w:rsidR="00082253" w:rsidRDefault="00082253" w:rsidP="00351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3C" w:rsidRDefault="006E003C">
    <w:pPr>
      <w:pStyle w:val="Header"/>
    </w:pPr>
  </w:p>
  <w:p w:rsidR="006E003C" w:rsidRDefault="006E003C">
    <w:pPr>
      <w:pStyle w:val="Header"/>
    </w:pPr>
  </w:p>
  <w:p w:rsidR="006E003C" w:rsidRDefault="006E003C">
    <w:pPr>
      <w:pStyle w:val="Header"/>
    </w:pPr>
  </w:p>
  <w:p w:rsidR="006E003C" w:rsidRDefault="006E00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A9" w:rsidRDefault="0073187C" w:rsidP="00240D9E">
    <w:pPr>
      <w:widowControl w:val="0"/>
      <w:tabs>
        <w:tab w:val="left" w:pos="1476"/>
      </w:tabs>
      <w:autoSpaceDE w:val="0"/>
      <w:autoSpaceDN w:val="0"/>
      <w:jc w:val="right"/>
      <w:rPr>
        <w:rFonts w:cs="Leelawadee"/>
        <w:b/>
        <w:color w:val="8A0A0A"/>
        <w:sz w:val="48"/>
        <w:szCs w:val="48"/>
      </w:rPr>
    </w:pPr>
    <w:r>
      <w:rPr>
        <w:rFonts w:cs="Leelawadee"/>
        <w:b/>
        <w:noProof/>
        <w:color w:val="8A0A0A"/>
        <w:sz w:val="48"/>
        <w:szCs w:val="48"/>
        <w:lang w:eastAsia="en-AU"/>
      </w:rPr>
      <w:drawing>
        <wp:anchor distT="0" distB="0" distL="114300" distR="114300" simplePos="0" relativeHeight="251663360" behindDoc="1" locked="0" layoutInCell="1" allowOverlap="1">
          <wp:simplePos x="0" y="0"/>
          <wp:positionH relativeFrom="column">
            <wp:posOffset>-15240</wp:posOffset>
          </wp:positionH>
          <wp:positionV relativeFrom="paragraph">
            <wp:posOffset>488315</wp:posOffset>
          </wp:positionV>
          <wp:extent cx="2668270" cy="301625"/>
          <wp:effectExtent l="19050" t="0" r="0" b="0"/>
          <wp:wrapTight wrapText="bothSides">
            <wp:wrapPolygon edited="0">
              <wp:start x="-154" y="0"/>
              <wp:lineTo x="-154" y="20463"/>
              <wp:lineTo x="21590" y="20463"/>
              <wp:lineTo x="21590" y="0"/>
              <wp:lineTo x="-154" y="0"/>
            </wp:wrapPolygon>
          </wp:wrapTight>
          <wp:docPr id="4" name="Picture 3" descr="C:\Users\Caroline\Dropbox\DAV Inc\DAV Marketing Communications\2015\New DAV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Dropbox\DAV Inc\DAV Marketing Communications\2015\New DAV tagline.jpg"/>
                  <pic:cNvPicPr>
                    <a:picLocks noChangeAspect="1" noChangeArrowheads="1"/>
                  </pic:cNvPicPr>
                </pic:nvPicPr>
                <pic:blipFill>
                  <a:blip r:embed="rId1"/>
                  <a:srcRect/>
                  <a:stretch>
                    <a:fillRect/>
                  </a:stretch>
                </pic:blipFill>
                <pic:spPr bwMode="auto">
                  <a:xfrm>
                    <a:off x="0" y="0"/>
                    <a:ext cx="2668270" cy="301625"/>
                  </a:xfrm>
                  <a:prstGeom prst="rect">
                    <a:avLst/>
                  </a:prstGeom>
                  <a:noFill/>
                  <a:ln w="9525">
                    <a:noFill/>
                    <a:miter lim="800000"/>
                    <a:headEnd/>
                    <a:tailEnd/>
                  </a:ln>
                </pic:spPr>
              </pic:pic>
            </a:graphicData>
          </a:graphic>
        </wp:anchor>
      </w:drawing>
    </w:r>
    <w:r>
      <w:rPr>
        <w:rFonts w:cs="Leelawadee"/>
        <w:b/>
        <w:noProof/>
        <w:color w:val="8A0A0A"/>
        <w:sz w:val="48"/>
        <w:szCs w:val="48"/>
        <w:lang w:eastAsia="en-AU"/>
      </w:rPr>
      <w:drawing>
        <wp:anchor distT="0" distB="0" distL="114300" distR="114300" simplePos="0" relativeHeight="251664384" behindDoc="1" locked="0" layoutInCell="1" allowOverlap="1">
          <wp:simplePos x="0" y="0"/>
          <wp:positionH relativeFrom="column">
            <wp:posOffset>-15240</wp:posOffset>
          </wp:positionH>
          <wp:positionV relativeFrom="paragraph">
            <wp:posOffset>-362585</wp:posOffset>
          </wp:positionV>
          <wp:extent cx="1666240" cy="897890"/>
          <wp:effectExtent l="19050" t="0" r="0" b="0"/>
          <wp:wrapTight wrapText="bothSides">
            <wp:wrapPolygon edited="0">
              <wp:start x="-247" y="0"/>
              <wp:lineTo x="-247" y="21081"/>
              <wp:lineTo x="21485" y="21081"/>
              <wp:lineTo x="21485" y="0"/>
              <wp:lineTo x="-247" y="0"/>
            </wp:wrapPolygon>
          </wp:wrapTight>
          <wp:docPr id="1" name="Picture 1" descr="C:\Users\Caroline\Dropbox\DAV Inc\DAV Marketing Communications\2015\New DAV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DAV Inc\DAV Marketing Communications\2015\New DAV logo jpg.jpg"/>
                  <pic:cNvPicPr>
                    <a:picLocks noChangeAspect="1" noChangeArrowheads="1"/>
                  </pic:cNvPicPr>
                </pic:nvPicPr>
                <pic:blipFill>
                  <a:blip r:embed="rId2"/>
                  <a:srcRect/>
                  <a:stretch>
                    <a:fillRect/>
                  </a:stretch>
                </pic:blipFill>
                <pic:spPr bwMode="auto">
                  <a:xfrm>
                    <a:off x="0" y="0"/>
                    <a:ext cx="1666240" cy="8978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1F3"/>
    <w:multiLevelType w:val="hybridMultilevel"/>
    <w:tmpl w:val="82F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37A5"/>
    <w:multiLevelType w:val="hybridMultilevel"/>
    <w:tmpl w:val="F6D4CC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7C2E67"/>
    <w:multiLevelType w:val="hybridMultilevel"/>
    <w:tmpl w:val="B08C6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8E45A1"/>
    <w:multiLevelType w:val="hybridMultilevel"/>
    <w:tmpl w:val="C9E87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CB6748"/>
    <w:multiLevelType w:val="hybridMultilevel"/>
    <w:tmpl w:val="134EE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811E70"/>
    <w:multiLevelType w:val="hybridMultilevel"/>
    <w:tmpl w:val="C714C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054FDA"/>
    <w:multiLevelType w:val="hybridMultilevel"/>
    <w:tmpl w:val="619408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ACC52B0"/>
    <w:multiLevelType w:val="hybridMultilevel"/>
    <w:tmpl w:val="DB747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224599"/>
    <w:multiLevelType w:val="hybridMultilevel"/>
    <w:tmpl w:val="66F0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083ECA"/>
    <w:multiLevelType w:val="hybridMultilevel"/>
    <w:tmpl w:val="04384922"/>
    <w:lvl w:ilvl="0" w:tplc="29642AD4">
      <w:start w:val="1"/>
      <w:numFmt w:val="decimal"/>
      <w:lvlText w:val="%1."/>
      <w:lvlJc w:val="left"/>
      <w:pPr>
        <w:ind w:left="720" w:hanging="360"/>
      </w:pPr>
      <w:rPr>
        <w:rFonts w:ascii="Leelawadee" w:hAnsi="Leelawade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313F85"/>
    <w:multiLevelType w:val="hybridMultilevel"/>
    <w:tmpl w:val="0200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ED5717"/>
    <w:multiLevelType w:val="hybridMultilevel"/>
    <w:tmpl w:val="9DBCD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612CB0"/>
    <w:multiLevelType w:val="hybridMultilevel"/>
    <w:tmpl w:val="51662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7C2FD2"/>
    <w:multiLevelType w:val="hybridMultilevel"/>
    <w:tmpl w:val="AE3CA43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 w:numId="2">
    <w:abstractNumId w:val="10"/>
  </w:num>
  <w:num w:numId="3">
    <w:abstractNumId w:val="4"/>
  </w:num>
  <w:num w:numId="4">
    <w:abstractNumId w:val="1"/>
  </w:num>
  <w:num w:numId="5">
    <w:abstractNumId w:val="7"/>
  </w:num>
  <w:num w:numId="6">
    <w:abstractNumId w:val="8"/>
  </w:num>
  <w:num w:numId="7">
    <w:abstractNumId w:val="9"/>
  </w:num>
  <w:num w:numId="8">
    <w:abstractNumId w:val="1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3"/>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A56D7E"/>
    <w:rsid w:val="000133FD"/>
    <w:rsid w:val="00036E66"/>
    <w:rsid w:val="00082253"/>
    <w:rsid w:val="0008273E"/>
    <w:rsid w:val="00085A78"/>
    <w:rsid w:val="00090EFC"/>
    <w:rsid w:val="000C6908"/>
    <w:rsid w:val="001005BC"/>
    <w:rsid w:val="00110B5D"/>
    <w:rsid w:val="00111700"/>
    <w:rsid w:val="00113517"/>
    <w:rsid w:val="001513CE"/>
    <w:rsid w:val="0017563E"/>
    <w:rsid w:val="001D14B8"/>
    <w:rsid w:val="001D3083"/>
    <w:rsid w:val="001D7151"/>
    <w:rsid w:val="00204309"/>
    <w:rsid w:val="0023652B"/>
    <w:rsid w:val="00240D9E"/>
    <w:rsid w:val="00274B26"/>
    <w:rsid w:val="002E3764"/>
    <w:rsid w:val="00344B3B"/>
    <w:rsid w:val="003510C9"/>
    <w:rsid w:val="00360BFC"/>
    <w:rsid w:val="0037298D"/>
    <w:rsid w:val="00382379"/>
    <w:rsid w:val="0038381A"/>
    <w:rsid w:val="00393720"/>
    <w:rsid w:val="00394148"/>
    <w:rsid w:val="0039682C"/>
    <w:rsid w:val="003A24B7"/>
    <w:rsid w:val="003D47DF"/>
    <w:rsid w:val="004044F3"/>
    <w:rsid w:val="00410AD6"/>
    <w:rsid w:val="00412B7C"/>
    <w:rsid w:val="00473839"/>
    <w:rsid w:val="004966BB"/>
    <w:rsid w:val="004B50F9"/>
    <w:rsid w:val="005E7E41"/>
    <w:rsid w:val="00656CE2"/>
    <w:rsid w:val="00664826"/>
    <w:rsid w:val="006676AB"/>
    <w:rsid w:val="006B02A9"/>
    <w:rsid w:val="006B1254"/>
    <w:rsid w:val="006B4F18"/>
    <w:rsid w:val="006D747A"/>
    <w:rsid w:val="006E003C"/>
    <w:rsid w:val="006E192A"/>
    <w:rsid w:val="00701110"/>
    <w:rsid w:val="00711A67"/>
    <w:rsid w:val="0073187C"/>
    <w:rsid w:val="0075148E"/>
    <w:rsid w:val="00765774"/>
    <w:rsid w:val="00776EE5"/>
    <w:rsid w:val="00797BAB"/>
    <w:rsid w:val="007D4597"/>
    <w:rsid w:val="007F2731"/>
    <w:rsid w:val="007F5FC8"/>
    <w:rsid w:val="0080697F"/>
    <w:rsid w:val="00854C77"/>
    <w:rsid w:val="0085770F"/>
    <w:rsid w:val="00867531"/>
    <w:rsid w:val="008A32E8"/>
    <w:rsid w:val="008F4CDC"/>
    <w:rsid w:val="008F5532"/>
    <w:rsid w:val="00902600"/>
    <w:rsid w:val="00964B0F"/>
    <w:rsid w:val="009748C5"/>
    <w:rsid w:val="009D4523"/>
    <w:rsid w:val="009D5BEE"/>
    <w:rsid w:val="009E5037"/>
    <w:rsid w:val="00A25B14"/>
    <w:rsid w:val="00A56D7E"/>
    <w:rsid w:val="00A85CA9"/>
    <w:rsid w:val="00A86E00"/>
    <w:rsid w:val="00AB2864"/>
    <w:rsid w:val="00AD5E81"/>
    <w:rsid w:val="00B3545F"/>
    <w:rsid w:val="00B47A81"/>
    <w:rsid w:val="00B51E42"/>
    <w:rsid w:val="00B71DC1"/>
    <w:rsid w:val="00B71EF9"/>
    <w:rsid w:val="00BA3433"/>
    <w:rsid w:val="00BC296F"/>
    <w:rsid w:val="00BC7D0D"/>
    <w:rsid w:val="00C14A8E"/>
    <w:rsid w:val="00C3117E"/>
    <w:rsid w:val="00C71408"/>
    <w:rsid w:val="00C73E8F"/>
    <w:rsid w:val="00C90053"/>
    <w:rsid w:val="00CF103B"/>
    <w:rsid w:val="00D10D00"/>
    <w:rsid w:val="00D3012D"/>
    <w:rsid w:val="00D96321"/>
    <w:rsid w:val="00DA1A42"/>
    <w:rsid w:val="00DC009D"/>
    <w:rsid w:val="00DE2F58"/>
    <w:rsid w:val="00DE4586"/>
    <w:rsid w:val="00DF3FED"/>
    <w:rsid w:val="00E20B87"/>
    <w:rsid w:val="00E43980"/>
    <w:rsid w:val="00E50B52"/>
    <w:rsid w:val="00E82DC6"/>
    <w:rsid w:val="00E90A86"/>
    <w:rsid w:val="00E90D4F"/>
    <w:rsid w:val="00E941B3"/>
    <w:rsid w:val="00EA7F92"/>
    <w:rsid w:val="00ED0C62"/>
    <w:rsid w:val="00ED1441"/>
    <w:rsid w:val="00EE2FCC"/>
    <w:rsid w:val="00EF5521"/>
    <w:rsid w:val="00F0201D"/>
    <w:rsid w:val="00F90E0D"/>
    <w:rsid w:val="00F96EE2"/>
    <w:rsid w:val="00FB2B54"/>
    <w:rsid w:val="00FD1A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FC"/>
    <w:pPr>
      <w:spacing w:after="0" w:line="240" w:lineRule="auto"/>
    </w:pPr>
    <w:rPr>
      <w:rFonts w:ascii="Arial" w:hAnsi="Arial"/>
    </w:rPr>
  </w:style>
  <w:style w:type="paragraph" w:styleId="Heading1">
    <w:name w:val="heading 1"/>
    <w:basedOn w:val="Normal"/>
    <w:next w:val="Normal"/>
    <w:link w:val="Heading1Char"/>
    <w:uiPriority w:val="9"/>
    <w:qFormat/>
    <w:rsid w:val="003510C9"/>
    <w:pPr>
      <w:keepNext/>
      <w:keepLines/>
      <w:spacing w:before="480" w:line="276" w:lineRule="auto"/>
      <w:outlineLvl w:val="0"/>
    </w:pPr>
    <w:rPr>
      <w:rFonts w:ascii="Leelawadee" w:eastAsiaTheme="majorEastAsia" w:hAnsi="Leelawadee" w:cstheme="majorBidi"/>
      <w:b/>
      <w:bCs/>
      <w:color w:val="8A0A0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0C9"/>
    <w:rPr>
      <w:rFonts w:ascii="Leelawadee" w:eastAsiaTheme="majorEastAsia" w:hAnsi="Leelawadee" w:cstheme="majorBidi"/>
      <w:b/>
      <w:bCs/>
      <w:color w:val="8A0A0A"/>
      <w:sz w:val="28"/>
      <w:szCs w:val="28"/>
    </w:rPr>
  </w:style>
  <w:style w:type="paragraph" w:styleId="Header">
    <w:name w:val="header"/>
    <w:basedOn w:val="Normal"/>
    <w:link w:val="HeaderChar"/>
    <w:uiPriority w:val="99"/>
    <w:unhideWhenUsed/>
    <w:rsid w:val="003510C9"/>
    <w:pPr>
      <w:tabs>
        <w:tab w:val="center" w:pos="4513"/>
        <w:tab w:val="right" w:pos="9026"/>
      </w:tabs>
    </w:pPr>
    <w:rPr>
      <w:rFonts w:ascii="Leelawadee" w:hAnsi="Leelawadee"/>
      <w:sz w:val="24"/>
    </w:rPr>
  </w:style>
  <w:style w:type="character" w:customStyle="1" w:styleId="HeaderChar">
    <w:name w:val="Header Char"/>
    <w:basedOn w:val="DefaultParagraphFont"/>
    <w:link w:val="Header"/>
    <w:uiPriority w:val="99"/>
    <w:rsid w:val="003510C9"/>
    <w:rPr>
      <w:rFonts w:ascii="Leelawadee" w:hAnsi="Leelawadee"/>
    </w:rPr>
  </w:style>
  <w:style w:type="paragraph" w:styleId="Footer">
    <w:name w:val="footer"/>
    <w:basedOn w:val="Normal"/>
    <w:link w:val="FooterChar"/>
    <w:unhideWhenUsed/>
    <w:rsid w:val="003510C9"/>
    <w:pPr>
      <w:tabs>
        <w:tab w:val="center" w:pos="4513"/>
        <w:tab w:val="right" w:pos="9026"/>
      </w:tabs>
    </w:pPr>
    <w:rPr>
      <w:rFonts w:ascii="Leelawadee" w:hAnsi="Leelawadee"/>
      <w:sz w:val="24"/>
    </w:rPr>
  </w:style>
  <w:style w:type="character" w:customStyle="1" w:styleId="FooterChar">
    <w:name w:val="Footer Char"/>
    <w:basedOn w:val="DefaultParagraphFont"/>
    <w:link w:val="Footer"/>
    <w:uiPriority w:val="99"/>
    <w:rsid w:val="003510C9"/>
    <w:rPr>
      <w:rFonts w:ascii="Leelawadee" w:hAnsi="Leelawadee"/>
    </w:rPr>
  </w:style>
  <w:style w:type="paragraph" w:styleId="BalloonText">
    <w:name w:val="Balloon Text"/>
    <w:basedOn w:val="Normal"/>
    <w:link w:val="BalloonTextChar"/>
    <w:uiPriority w:val="99"/>
    <w:semiHidden/>
    <w:unhideWhenUsed/>
    <w:rsid w:val="003510C9"/>
    <w:rPr>
      <w:rFonts w:ascii="Tahoma" w:hAnsi="Tahoma" w:cs="Tahoma"/>
      <w:sz w:val="16"/>
      <w:szCs w:val="16"/>
    </w:rPr>
  </w:style>
  <w:style w:type="character" w:customStyle="1" w:styleId="BalloonTextChar">
    <w:name w:val="Balloon Text Char"/>
    <w:basedOn w:val="DefaultParagraphFont"/>
    <w:link w:val="BalloonText"/>
    <w:uiPriority w:val="99"/>
    <w:semiHidden/>
    <w:rsid w:val="003510C9"/>
    <w:rPr>
      <w:rFonts w:ascii="Tahoma" w:hAnsi="Tahoma" w:cs="Tahoma"/>
      <w:sz w:val="16"/>
      <w:szCs w:val="16"/>
    </w:rPr>
  </w:style>
  <w:style w:type="table" w:styleId="TableGrid">
    <w:name w:val="Table Grid"/>
    <w:basedOn w:val="TableNormal"/>
    <w:rsid w:val="00351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33FD"/>
    <w:rPr>
      <w:color w:val="0000FF" w:themeColor="hyperlink"/>
      <w:u w:val="single"/>
    </w:rPr>
  </w:style>
  <w:style w:type="paragraph" w:styleId="ListParagraph">
    <w:name w:val="List Paragraph"/>
    <w:basedOn w:val="Normal"/>
    <w:uiPriority w:val="34"/>
    <w:qFormat/>
    <w:rsid w:val="006B1254"/>
    <w:pPr>
      <w:ind w:left="720"/>
    </w:pPr>
    <w:rPr>
      <w:rFonts w:ascii="Times New Roman" w:eastAsia="Times New Roman" w:hAnsi="Times New Roman" w:cs="Times New Roman"/>
      <w:sz w:val="24"/>
      <w:szCs w:val="24"/>
    </w:rPr>
  </w:style>
  <w:style w:type="paragraph" w:customStyle="1" w:styleId="Default">
    <w:name w:val="Default"/>
    <w:rsid w:val="00036E66"/>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9292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wnloads\LET%20-%20Letter%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 - Letter template (1)</Template>
  <TotalTime>4</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Livanos</dc:creator>
  <cp:lastModifiedBy>Caroline Livanos</cp:lastModifiedBy>
  <cp:revision>2</cp:revision>
  <cp:lastPrinted>2014-01-14T05:41:00Z</cp:lastPrinted>
  <dcterms:created xsi:type="dcterms:W3CDTF">2015-07-15T01:21:00Z</dcterms:created>
  <dcterms:modified xsi:type="dcterms:W3CDTF">2015-07-15T01:21:00Z</dcterms:modified>
</cp:coreProperties>
</file>